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17D9" w14:textId="77777777" w:rsidR="00BD5A28" w:rsidRDefault="008F3908" w:rsidP="002660A0">
      <w:pPr>
        <w:tabs>
          <w:tab w:val="left" w:pos="2880"/>
          <w:tab w:val="left" w:pos="3240"/>
        </w:tabs>
        <w:spacing w:after="0" w:line="240" w:lineRule="auto"/>
        <w:jc w:val="center"/>
        <w:rPr>
          <w:rFonts w:ascii="Segoe UI Light" w:hAnsi="Segoe UI Light"/>
          <w:b/>
          <w:bCs/>
          <w:sz w:val="36"/>
          <w:szCs w:val="36"/>
        </w:rPr>
      </w:pPr>
      <w:r w:rsidRPr="002660A0">
        <w:rPr>
          <w:rFonts w:ascii="Segoe UI Light" w:hAnsi="Segoe UI Light"/>
          <w:b/>
          <w:bCs/>
          <w:sz w:val="36"/>
          <w:szCs w:val="36"/>
        </w:rPr>
        <w:t xml:space="preserve">Relazione relativa alla sicurezza delle cure e alle relative azioni di miglioramento </w:t>
      </w:r>
    </w:p>
    <w:p w14:paraId="02C9ACDD" w14:textId="77777777" w:rsidR="00E77B59" w:rsidRDefault="008F3908" w:rsidP="002660A0">
      <w:pPr>
        <w:tabs>
          <w:tab w:val="left" w:pos="2880"/>
          <w:tab w:val="left" w:pos="3240"/>
        </w:tabs>
        <w:spacing w:after="0" w:line="240" w:lineRule="auto"/>
        <w:jc w:val="center"/>
        <w:rPr>
          <w:rFonts w:ascii="Segoe UI Light" w:hAnsi="Segoe UI Light"/>
          <w:bCs/>
          <w:sz w:val="36"/>
          <w:szCs w:val="36"/>
        </w:rPr>
      </w:pPr>
      <w:r w:rsidRPr="002660A0">
        <w:rPr>
          <w:rFonts w:ascii="Segoe UI Light" w:hAnsi="Segoe UI Light"/>
          <w:b/>
          <w:bCs/>
          <w:sz w:val="36"/>
          <w:szCs w:val="36"/>
        </w:rPr>
        <w:t>(art.2 comma 5 Legge 24/2017</w:t>
      </w:r>
      <w:r w:rsidRPr="002660A0">
        <w:rPr>
          <w:rFonts w:ascii="Segoe UI Light" w:hAnsi="Segoe UI Light"/>
          <w:bCs/>
          <w:sz w:val="36"/>
          <w:szCs w:val="36"/>
        </w:rPr>
        <w:t>)</w:t>
      </w:r>
    </w:p>
    <w:p w14:paraId="0DF94346" w14:textId="77777777" w:rsidR="009E35EC" w:rsidRDefault="009E35EC" w:rsidP="002660A0">
      <w:pPr>
        <w:tabs>
          <w:tab w:val="left" w:pos="2880"/>
          <w:tab w:val="left" w:pos="3240"/>
        </w:tabs>
        <w:spacing w:after="0" w:line="240" w:lineRule="auto"/>
        <w:jc w:val="center"/>
        <w:rPr>
          <w:rFonts w:ascii="Segoe UI Light" w:hAnsi="Segoe UI Light"/>
          <w:bCs/>
          <w:sz w:val="36"/>
          <w:szCs w:val="36"/>
        </w:rPr>
      </w:pPr>
    </w:p>
    <w:p w14:paraId="2E96959F" w14:textId="05ACAE4F" w:rsidR="009E35EC" w:rsidRPr="00500E5A" w:rsidRDefault="009E35EC" w:rsidP="009E35EC">
      <w:pPr>
        <w:pStyle w:val="Default"/>
        <w:spacing w:after="240" w:line="360" w:lineRule="auto"/>
        <w:jc w:val="both"/>
      </w:pPr>
      <w:r w:rsidRPr="00500E5A">
        <w:rPr>
          <w:rFonts w:ascii="Segoe UI Light" w:hAnsi="Segoe UI Light" w:cs="Calibri"/>
          <w:sz w:val="22"/>
          <w:szCs w:val="22"/>
        </w:rPr>
        <w:t xml:space="preserve">La sicurezza dei pazienti è una priorità per </w:t>
      </w:r>
      <w:r w:rsidR="0010077A">
        <w:rPr>
          <w:rFonts w:ascii="Segoe UI Light" w:hAnsi="Segoe UI Light" w:cs="Calibri"/>
          <w:sz w:val="22"/>
          <w:szCs w:val="22"/>
        </w:rPr>
        <w:t>il Policlinico Città di Udine</w:t>
      </w:r>
      <w:r>
        <w:rPr>
          <w:rFonts w:ascii="Segoe UI Light" w:hAnsi="Segoe UI Light" w:cs="Calibri"/>
          <w:color w:val="0070C0"/>
          <w:sz w:val="22"/>
          <w:szCs w:val="22"/>
        </w:rPr>
        <w:t xml:space="preserve"> </w:t>
      </w:r>
      <w:r w:rsidRPr="00500E5A">
        <w:rPr>
          <w:rFonts w:ascii="Segoe UI Light" w:hAnsi="Segoe UI Light" w:cs="Calibri"/>
          <w:sz w:val="22"/>
          <w:szCs w:val="22"/>
        </w:rPr>
        <w:t>e si pone a garanzia della qualità e dell’equità delle cure prestate. Per il suo perseguimento è necessario l’impegno di tutte le figure professionali, attraverso programmi di governo clinico e di miglioramento continuo della qualità che pongono al centro le necessità dei cittadini e valorizzano il ruolo e la responsabilità degli operatori della sanità.</w:t>
      </w:r>
    </w:p>
    <w:p w14:paraId="61F6C04A" w14:textId="77777777" w:rsidR="009E35EC" w:rsidRPr="00500E5A" w:rsidRDefault="009E35EC" w:rsidP="009E35EC">
      <w:pPr>
        <w:pStyle w:val="Default"/>
        <w:spacing w:after="240" w:line="360" w:lineRule="auto"/>
        <w:jc w:val="both"/>
        <w:rPr>
          <w:rFonts w:ascii="Segoe UI Light" w:hAnsi="Segoe UI Light" w:cs="Calibri"/>
          <w:sz w:val="22"/>
          <w:szCs w:val="22"/>
        </w:rPr>
      </w:pPr>
      <w:r w:rsidRPr="00500E5A">
        <w:rPr>
          <w:rFonts w:ascii="Segoe UI Light" w:hAnsi="Segoe UI Light" w:cs="Calibri"/>
          <w:sz w:val="22"/>
          <w:szCs w:val="22"/>
        </w:rPr>
        <w:t xml:space="preserve">Il sistema di segnalazione degli eventi da parte degli operatori sanitari, chiamato anche </w:t>
      </w:r>
      <w:proofErr w:type="spellStart"/>
      <w:r w:rsidRPr="00500E5A">
        <w:rPr>
          <w:rFonts w:ascii="Segoe UI Light" w:hAnsi="Segoe UI Light" w:cs="Calibri"/>
          <w:i/>
          <w:sz w:val="22"/>
          <w:szCs w:val="22"/>
        </w:rPr>
        <w:t>incident</w:t>
      </w:r>
      <w:proofErr w:type="spellEnd"/>
      <w:r w:rsidRPr="00500E5A">
        <w:rPr>
          <w:rFonts w:ascii="Segoe UI Light" w:hAnsi="Segoe UI Light" w:cs="Calibri"/>
          <w:i/>
          <w:sz w:val="22"/>
          <w:szCs w:val="22"/>
        </w:rPr>
        <w:t xml:space="preserve"> reporting,</w:t>
      </w:r>
      <w:r w:rsidRPr="00500E5A">
        <w:rPr>
          <w:rFonts w:ascii="Segoe UI Light" w:hAnsi="Segoe UI Light" w:cs="Calibri"/>
          <w:sz w:val="22"/>
          <w:szCs w:val="22"/>
        </w:rPr>
        <w:t xml:space="preserve"> rappresenta uno strumento indispensabile per aumentare la conoscenza delle cause e dei fattori che hanno contribuito al verificarsi di un evento avverso in base al principio dell’imparare dall’errore. L’</w:t>
      </w:r>
      <w:proofErr w:type="spellStart"/>
      <w:r w:rsidRPr="00500E5A">
        <w:rPr>
          <w:rFonts w:ascii="Segoe UI Light" w:hAnsi="Segoe UI Light" w:cs="Calibri"/>
          <w:i/>
          <w:sz w:val="22"/>
          <w:szCs w:val="22"/>
        </w:rPr>
        <w:t>incident</w:t>
      </w:r>
      <w:proofErr w:type="spellEnd"/>
      <w:r w:rsidRPr="00500E5A">
        <w:rPr>
          <w:rFonts w:ascii="Segoe UI Light" w:hAnsi="Segoe UI Light" w:cs="Calibri"/>
          <w:i/>
          <w:sz w:val="22"/>
          <w:szCs w:val="22"/>
        </w:rPr>
        <w:t xml:space="preserve"> reporting </w:t>
      </w:r>
      <w:r w:rsidRPr="00500E5A">
        <w:rPr>
          <w:rFonts w:ascii="Segoe UI Light" w:hAnsi="Segoe UI Light" w:cs="Calibri"/>
          <w:sz w:val="22"/>
          <w:szCs w:val="22"/>
        </w:rPr>
        <w:t>consente ai professionisti sanitari di descrivere e comunicare eventi avversi (“eventi inattesi correlati al processo assistenziale e che comportano un danno al paziente, non intenzionale e indesiderabile”</w:t>
      </w:r>
      <w:r>
        <w:rPr>
          <w:rFonts w:ascii="Segoe UI Light" w:hAnsi="Segoe UI Light" w:cs="Calibri"/>
          <w:sz w:val="22"/>
          <w:szCs w:val="22"/>
        </w:rPr>
        <w:t xml:space="preserve"> - </w:t>
      </w:r>
      <w:r w:rsidRPr="00500E5A">
        <w:rPr>
          <w:rFonts w:ascii="Segoe UI Light" w:hAnsi="Segoe UI Light" w:cs="Calibri"/>
          <w:sz w:val="22"/>
          <w:szCs w:val="22"/>
        </w:rPr>
        <w:t xml:space="preserve">Ministero della salute, 2011) e </w:t>
      </w:r>
      <w:proofErr w:type="spellStart"/>
      <w:r w:rsidRPr="00500E5A">
        <w:rPr>
          <w:rFonts w:ascii="Segoe UI Light" w:hAnsi="Segoe UI Light" w:cs="Calibri"/>
          <w:i/>
          <w:sz w:val="22"/>
          <w:szCs w:val="22"/>
        </w:rPr>
        <w:t>near</w:t>
      </w:r>
      <w:proofErr w:type="spellEnd"/>
      <w:r w:rsidRPr="00500E5A">
        <w:rPr>
          <w:rFonts w:ascii="Segoe UI Light" w:hAnsi="Segoe UI Light" w:cs="Calibri"/>
          <w:i/>
          <w:sz w:val="22"/>
          <w:szCs w:val="22"/>
        </w:rPr>
        <w:t xml:space="preserve"> miss </w:t>
      </w:r>
      <w:r w:rsidRPr="00500E5A">
        <w:rPr>
          <w:rFonts w:ascii="Segoe UI Light" w:hAnsi="Segoe UI Light" w:cs="Calibri"/>
          <w:sz w:val="22"/>
          <w:szCs w:val="22"/>
        </w:rPr>
        <w:t>(“errori che hanno la potenzialità di causare un evento avverso che non si verifica per caso fortuito o perché intercettato o perché non ha conseguenze avverse per il paziente”</w:t>
      </w:r>
      <w:r>
        <w:rPr>
          <w:rFonts w:ascii="Segoe UI Light" w:hAnsi="Segoe UI Light" w:cs="Calibri"/>
          <w:sz w:val="22"/>
          <w:szCs w:val="22"/>
        </w:rPr>
        <w:t xml:space="preserve"> - </w:t>
      </w:r>
      <w:r w:rsidRPr="00500E5A">
        <w:rPr>
          <w:rFonts w:ascii="Segoe UI Light" w:hAnsi="Segoe UI Light" w:cs="Calibri"/>
          <w:sz w:val="22"/>
          <w:szCs w:val="22"/>
        </w:rPr>
        <w:t>Ministero della salute, 2011), la cui analisi permette di individuare i rischi del sistema e di intraprendere le azioni correttive in grado di determinare un miglioramento della qualità e della sicurezza delle cure.</w:t>
      </w:r>
    </w:p>
    <w:p w14:paraId="523BB451" w14:textId="77777777" w:rsidR="009E35EC" w:rsidRPr="00500E5A" w:rsidRDefault="009E35EC" w:rsidP="009E35EC">
      <w:pPr>
        <w:pStyle w:val="Default"/>
        <w:spacing w:after="240" w:line="360" w:lineRule="auto"/>
        <w:jc w:val="both"/>
        <w:rPr>
          <w:rFonts w:ascii="Segoe UI Light" w:hAnsi="Segoe UI Light" w:cs="Calibri"/>
          <w:sz w:val="22"/>
          <w:szCs w:val="22"/>
        </w:rPr>
      </w:pPr>
      <w:r w:rsidRPr="00500E5A">
        <w:rPr>
          <w:rFonts w:ascii="Segoe UI Light" w:hAnsi="Segoe UI Light" w:cs="Calibri"/>
          <w:sz w:val="22"/>
          <w:szCs w:val="22"/>
        </w:rPr>
        <w:t>Garantire la sicurezza delle cure ai pazienti attraverso la prevenzione e la gestione del rischio clinico richiede un cambiamento della cultura organizzativa e professionale che trasformi l’”errore” da qualcosa da nascondere ad una risorsa utile da analizzare per migliorare le conoscenze ed adottare le misure volte a ridurre la probabilità che si ripet</w:t>
      </w:r>
      <w:r>
        <w:rPr>
          <w:rFonts w:ascii="Segoe UI Light" w:hAnsi="Segoe UI Light" w:cs="Calibri"/>
          <w:sz w:val="22"/>
          <w:szCs w:val="22"/>
        </w:rPr>
        <w:t xml:space="preserve">a. Segnalare un evento avverso o un </w:t>
      </w:r>
      <w:proofErr w:type="spellStart"/>
      <w:r w:rsidRPr="00080887">
        <w:rPr>
          <w:rFonts w:ascii="Segoe UI Light" w:hAnsi="Segoe UI Light" w:cs="Calibri"/>
          <w:i/>
          <w:sz w:val="22"/>
          <w:szCs w:val="22"/>
        </w:rPr>
        <w:t>near</w:t>
      </w:r>
      <w:proofErr w:type="spellEnd"/>
      <w:r w:rsidRPr="00080887">
        <w:rPr>
          <w:rFonts w:ascii="Segoe UI Light" w:hAnsi="Segoe UI Light" w:cs="Calibri"/>
          <w:i/>
          <w:sz w:val="22"/>
          <w:szCs w:val="22"/>
        </w:rPr>
        <w:t xml:space="preserve"> miss</w:t>
      </w:r>
      <w:r w:rsidRPr="00500E5A">
        <w:rPr>
          <w:rFonts w:ascii="Segoe UI Light" w:hAnsi="Segoe UI Light" w:cs="Calibri"/>
          <w:sz w:val="22"/>
          <w:szCs w:val="22"/>
        </w:rPr>
        <w:t xml:space="preserve"> non deve diventare un elemento di biasimo per il professionista quanto uno stimolo al miglioramento del sistema.</w:t>
      </w:r>
    </w:p>
    <w:p w14:paraId="578174AC" w14:textId="77777777" w:rsidR="009E35EC" w:rsidRDefault="009E35EC" w:rsidP="009E35EC">
      <w:pPr>
        <w:pStyle w:val="Default"/>
        <w:spacing w:after="240" w:line="360" w:lineRule="auto"/>
        <w:jc w:val="both"/>
      </w:pPr>
      <w:r w:rsidRPr="00500E5A">
        <w:rPr>
          <w:rFonts w:ascii="Segoe UI Light" w:hAnsi="Segoe UI Light" w:cs="Calibri"/>
          <w:sz w:val="22"/>
          <w:szCs w:val="22"/>
        </w:rPr>
        <w:t>La seguente relazione relativa alla sicurezza delle cure e alle azioni di miglioramento individuate (art. 2 comma 5 Legge 24/2017) descrive schematicamente l’area di interesse delle segnalazioni, il numero e la tipologia di approfondimenti attuati e il numero di azioni di miglioramento messe in atto sulla base delle criticità emerse.</w:t>
      </w:r>
      <w:r>
        <w:rPr>
          <w:rFonts w:ascii="Segoe UI Light" w:hAnsi="Segoe UI Light" w:cs="Calibri"/>
          <w:sz w:val="22"/>
          <w:szCs w:val="22"/>
        </w:rPr>
        <w:t xml:space="preserve"> I</w:t>
      </w:r>
      <w:r w:rsidRPr="00500E5A">
        <w:rPr>
          <w:rFonts w:ascii="Segoe UI Light" w:hAnsi="Segoe UI Light" w:cs="Calibri"/>
          <w:sz w:val="22"/>
          <w:szCs w:val="22"/>
        </w:rPr>
        <w:t>noltre</w:t>
      </w:r>
      <w:r>
        <w:rPr>
          <w:rFonts w:ascii="Segoe UI Light" w:hAnsi="Segoe UI Light" w:cs="Calibri"/>
          <w:sz w:val="22"/>
          <w:szCs w:val="22"/>
        </w:rPr>
        <w:t xml:space="preserve">, sono riportati </w:t>
      </w:r>
      <w:r w:rsidRPr="00500E5A">
        <w:rPr>
          <w:rFonts w:ascii="Segoe UI Light" w:hAnsi="Segoe UI Light" w:cs="Calibri"/>
          <w:sz w:val="22"/>
          <w:szCs w:val="22"/>
        </w:rPr>
        <w:t xml:space="preserve">anche i dati relativi a tutti </w:t>
      </w:r>
      <w:r>
        <w:rPr>
          <w:rFonts w:ascii="Segoe UI Light" w:hAnsi="Segoe UI Light" w:cs="Calibri"/>
          <w:sz w:val="22"/>
          <w:szCs w:val="22"/>
        </w:rPr>
        <w:t xml:space="preserve">i risarcimenti </w:t>
      </w:r>
      <w:r w:rsidRPr="00500E5A">
        <w:rPr>
          <w:rFonts w:ascii="Segoe UI Light" w:hAnsi="Segoe UI Light" w:cs="Calibri"/>
          <w:sz w:val="22"/>
          <w:szCs w:val="22"/>
        </w:rPr>
        <w:t>liquidati in conseguenza di danni biologici subiti da pazienti nell'ultimo quinquennio (come da art. 4, comma 3 della legge 24/2017)</w:t>
      </w:r>
      <w:r>
        <w:rPr>
          <w:rFonts w:ascii="Segoe UI Light" w:hAnsi="Segoe UI Light" w:cs="Calibri"/>
          <w:sz w:val="22"/>
          <w:szCs w:val="22"/>
        </w:rPr>
        <w:t>.</w:t>
      </w:r>
    </w:p>
    <w:p w14:paraId="1C65BDE2" w14:textId="77777777" w:rsidR="009E35EC" w:rsidRDefault="009E35EC" w:rsidP="002660A0">
      <w:pPr>
        <w:tabs>
          <w:tab w:val="left" w:pos="2880"/>
          <w:tab w:val="left" w:pos="3240"/>
        </w:tabs>
        <w:spacing w:after="0" w:line="240" w:lineRule="auto"/>
        <w:jc w:val="center"/>
        <w:rPr>
          <w:rFonts w:ascii="Segoe UI Light" w:hAnsi="Segoe UI Light"/>
          <w:sz w:val="24"/>
          <w:szCs w:val="24"/>
        </w:rPr>
      </w:pPr>
    </w:p>
    <w:p w14:paraId="063240F3" w14:textId="77777777" w:rsidR="00263D7C" w:rsidRDefault="00263D7C" w:rsidP="002660A0">
      <w:pPr>
        <w:tabs>
          <w:tab w:val="left" w:pos="2880"/>
          <w:tab w:val="left" w:pos="3240"/>
        </w:tabs>
        <w:spacing w:after="0" w:line="240" w:lineRule="auto"/>
        <w:jc w:val="center"/>
        <w:rPr>
          <w:rFonts w:ascii="Segoe UI Light" w:hAnsi="Segoe UI Light"/>
          <w:sz w:val="24"/>
          <w:szCs w:val="24"/>
        </w:rPr>
      </w:pPr>
    </w:p>
    <w:p w14:paraId="50F26672" w14:textId="77777777" w:rsidR="00263D7C" w:rsidRPr="002660A0" w:rsidRDefault="00263D7C" w:rsidP="002660A0">
      <w:pPr>
        <w:tabs>
          <w:tab w:val="left" w:pos="2880"/>
          <w:tab w:val="left" w:pos="3240"/>
        </w:tabs>
        <w:spacing w:after="0" w:line="240" w:lineRule="auto"/>
        <w:jc w:val="center"/>
        <w:rPr>
          <w:rFonts w:ascii="Segoe UI Light" w:hAnsi="Segoe UI Light"/>
          <w:sz w:val="24"/>
          <w:szCs w:val="24"/>
        </w:rPr>
      </w:pPr>
    </w:p>
    <w:tbl>
      <w:tblPr>
        <w:tblStyle w:val="Elencomedio2-Colore5"/>
        <w:tblW w:w="5154" w:type="pct"/>
        <w:tblLook w:val="04A0" w:firstRow="1" w:lastRow="0" w:firstColumn="1" w:lastColumn="0" w:noHBand="0" w:noVBand="1"/>
      </w:tblPr>
      <w:tblGrid>
        <w:gridCol w:w="11720"/>
        <w:gridCol w:w="2079"/>
        <w:gridCol w:w="2073"/>
      </w:tblGrid>
      <w:tr w:rsidR="008F3908" w14:paraId="6B6FF6F0" w14:textId="77777777" w:rsidTr="00150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2" w:type="pct"/>
          </w:tcPr>
          <w:p w14:paraId="7E50F7C8" w14:textId="77777777" w:rsidR="008F3908" w:rsidRDefault="008F3908" w:rsidP="00E77B59">
            <w:pPr>
              <w:tabs>
                <w:tab w:val="left" w:pos="2880"/>
                <w:tab w:val="left" w:pos="3240"/>
              </w:tabs>
              <w:spacing w:after="0" w:line="240" w:lineRule="auto"/>
              <w:jc w:val="center"/>
              <w:rPr>
                <w:rFonts w:ascii="Segoe UI Light" w:hAnsi="Segoe UI Light"/>
                <w:bCs/>
                <w:szCs w:val="24"/>
              </w:rPr>
            </w:pPr>
          </w:p>
        </w:tc>
        <w:tc>
          <w:tcPr>
            <w:tcW w:w="655" w:type="pct"/>
          </w:tcPr>
          <w:p w14:paraId="033EA1BB" w14:textId="77777777" w:rsidR="008F3908" w:rsidRDefault="008F3908" w:rsidP="00E77B59">
            <w:pPr>
              <w:tabs>
                <w:tab w:val="left" w:pos="2880"/>
                <w:tab w:val="left" w:pos="3240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szCs w:val="24"/>
              </w:rPr>
            </w:pPr>
          </w:p>
        </w:tc>
        <w:tc>
          <w:tcPr>
            <w:tcW w:w="653" w:type="pct"/>
          </w:tcPr>
          <w:p w14:paraId="14CF2FF8" w14:textId="77777777" w:rsidR="008F3908" w:rsidRDefault="008F3908" w:rsidP="00E77B59">
            <w:pPr>
              <w:tabs>
                <w:tab w:val="left" w:pos="2880"/>
                <w:tab w:val="left" w:pos="3240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szCs w:val="24"/>
              </w:rPr>
            </w:pPr>
          </w:p>
        </w:tc>
      </w:tr>
      <w:tr w:rsidR="002660A0" w14:paraId="5A725BDC" w14:textId="77777777" w:rsidTr="0015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41614EB9" w14:textId="77777777" w:rsidR="002660A0" w:rsidRPr="007A02F2" w:rsidRDefault="002660A0" w:rsidP="00150196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bCs/>
                <w:sz w:val="24"/>
                <w:szCs w:val="24"/>
              </w:rPr>
            </w:pPr>
          </w:p>
        </w:tc>
        <w:tc>
          <w:tcPr>
            <w:tcW w:w="1308" w:type="pct"/>
            <w:gridSpan w:val="2"/>
          </w:tcPr>
          <w:p w14:paraId="4D15DAA9" w14:textId="0CB6785B" w:rsidR="002660A0" w:rsidRPr="007A02F2" w:rsidRDefault="00055DEA" w:rsidP="00403EB0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sz w:val="24"/>
                <w:szCs w:val="24"/>
              </w:rPr>
            </w:pPr>
            <w:r w:rsidRPr="007A02F2">
              <w:rPr>
                <w:rFonts w:ascii="Segoe UI Light" w:hAnsi="Segoe UI Light"/>
                <w:b/>
                <w:bCs/>
                <w:sz w:val="28"/>
                <w:szCs w:val="24"/>
              </w:rPr>
              <w:t>N.</w:t>
            </w:r>
            <w:r w:rsidR="00014FE4">
              <w:rPr>
                <w:rFonts w:ascii="Segoe UI Light" w:hAnsi="Segoe UI Light"/>
                <w:b/>
                <w:bCs/>
                <w:sz w:val="28"/>
                <w:szCs w:val="24"/>
              </w:rPr>
              <w:t xml:space="preserve"> </w:t>
            </w:r>
            <w:r w:rsidR="00211F67">
              <w:rPr>
                <w:rFonts w:ascii="Segoe UI Light" w:hAnsi="Segoe UI Light"/>
                <w:b/>
                <w:bCs/>
                <w:sz w:val="28"/>
                <w:szCs w:val="24"/>
              </w:rPr>
              <w:t>35</w:t>
            </w:r>
          </w:p>
        </w:tc>
      </w:tr>
      <w:tr w:rsidR="007A02F2" w14:paraId="773F5713" w14:textId="77777777" w:rsidTr="007A02F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  <w:vMerge w:val="restart"/>
          </w:tcPr>
          <w:p w14:paraId="703AF849" w14:textId="56B16827" w:rsidR="007A02F2" w:rsidRPr="00150196" w:rsidRDefault="007A02F2" w:rsidP="00150196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sz w:val="28"/>
                <w:szCs w:val="24"/>
              </w:rPr>
            </w:pPr>
            <w:r w:rsidRPr="00150196">
              <w:rPr>
                <w:rFonts w:ascii="Segoe UI Light" w:hAnsi="Segoe UI Light"/>
                <w:b/>
                <w:sz w:val="28"/>
                <w:szCs w:val="24"/>
              </w:rPr>
              <w:t>Segnalazioni annuali</w:t>
            </w:r>
            <w:r w:rsidR="0010077A">
              <w:rPr>
                <w:rFonts w:ascii="Segoe UI Light" w:hAnsi="Segoe UI Light"/>
                <w:b/>
                <w:sz w:val="28"/>
                <w:szCs w:val="24"/>
              </w:rPr>
              <w:t xml:space="preserve"> 202</w:t>
            </w:r>
            <w:r w:rsidR="002E317E">
              <w:rPr>
                <w:rFonts w:ascii="Segoe UI Light" w:hAnsi="Segoe UI Light"/>
                <w:b/>
                <w:sz w:val="28"/>
                <w:szCs w:val="24"/>
              </w:rPr>
              <w:t>5</w:t>
            </w:r>
            <w:r>
              <w:rPr>
                <w:rFonts w:ascii="Segoe UI Light" w:hAnsi="Segoe UI Light"/>
                <w:b/>
                <w:sz w:val="28"/>
                <w:szCs w:val="24"/>
              </w:rPr>
              <w:t>,</w:t>
            </w:r>
          </w:p>
          <w:p w14:paraId="215401E8" w14:textId="77777777" w:rsidR="007A02F2" w:rsidRPr="00150196" w:rsidRDefault="007A02F2" w:rsidP="00150196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sz w:val="28"/>
                <w:szCs w:val="24"/>
              </w:rPr>
            </w:pPr>
            <w:r>
              <w:rPr>
                <w:rFonts w:ascii="Segoe UI Light" w:hAnsi="Segoe UI Light"/>
                <w:b/>
                <w:sz w:val="28"/>
                <w:szCs w:val="24"/>
              </w:rPr>
              <w:t>di cui:</w:t>
            </w:r>
          </w:p>
        </w:tc>
        <w:tc>
          <w:tcPr>
            <w:tcW w:w="1308" w:type="pct"/>
            <w:gridSpan w:val="2"/>
            <w:vAlign w:val="center"/>
          </w:tcPr>
          <w:p w14:paraId="2ED9DEA6" w14:textId="77777777" w:rsidR="007A02F2" w:rsidRPr="007A02F2" w:rsidRDefault="007A02F2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sz w:val="28"/>
                <w:szCs w:val="24"/>
              </w:rPr>
            </w:pPr>
          </w:p>
        </w:tc>
      </w:tr>
      <w:tr w:rsidR="007A02F2" w14:paraId="18F6FBA9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  <w:vMerge/>
          </w:tcPr>
          <w:p w14:paraId="53FC6CC3" w14:textId="77777777" w:rsidR="007A02F2" w:rsidRPr="00150196" w:rsidRDefault="007A02F2" w:rsidP="00150196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sz w:val="28"/>
                <w:szCs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15E54E3B" w14:textId="14A96296" w:rsidR="007A02F2" w:rsidRPr="007A02F2" w:rsidRDefault="007A02F2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</w:pPr>
            <w:r w:rsidRPr="007A02F2"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  <w:t>N.</w:t>
            </w:r>
            <w:r w:rsidR="00246AE6"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  <w:t xml:space="preserve"> </w:t>
            </w:r>
            <w:r w:rsidR="00211F67"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055DEA" w14:paraId="182C808B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56214E25" w14:textId="77777777" w:rsidR="00055DEA" w:rsidRPr="00055DEA" w:rsidRDefault="007A02F2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i/>
                <w:sz w:val="24"/>
                <w:szCs w:val="24"/>
              </w:rPr>
            </w:pPr>
            <w:r>
              <w:rPr>
                <w:rFonts w:ascii="Segoe UI Light" w:hAnsi="Segoe UI Light"/>
                <w:b/>
                <w:i/>
                <w:sz w:val="24"/>
                <w:szCs w:val="24"/>
              </w:rPr>
              <w:t>-</w:t>
            </w:r>
            <w:r w:rsidR="001E575D">
              <w:rPr>
                <w:rFonts w:ascii="Segoe UI Light" w:hAnsi="Segoe UI Ligh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55DEA" w:rsidRPr="00055DEA">
              <w:rPr>
                <w:rFonts w:ascii="Segoe UI Light" w:hAnsi="Segoe UI Light"/>
                <w:b/>
                <w:i/>
                <w:sz w:val="24"/>
                <w:szCs w:val="24"/>
              </w:rPr>
              <w:t>Incident</w:t>
            </w:r>
            <w:proofErr w:type="spellEnd"/>
            <w:r w:rsidR="00055DEA" w:rsidRPr="00055DEA">
              <w:rPr>
                <w:rFonts w:ascii="Segoe UI Light" w:hAnsi="Segoe UI Light"/>
                <w:b/>
                <w:i/>
                <w:sz w:val="24"/>
                <w:szCs w:val="24"/>
              </w:rPr>
              <w:t xml:space="preserve"> reporting</w:t>
            </w:r>
            <w:r w:rsidR="00055DEA">
              <w:rPr>
                <w:rFonts w:ascii="Segoe UI Light" w:hAnsi="Segoe UI Light"/>
                <w:b/>
                <w:i/>
                <w:sz w:val="24"/>
                <w:szCs w:val="24"/>
              </w:rPr>
              <w:t>, di cui</w:t>
            </w:r>
          </w:p>
        </w:tc>
        <w:tc>
          <w:tcPr>
            <w:tcW w:w="1308" w:type="pct"/>
            <w:gridSpan w:val="2"/>
            <w:vAlign w:val="center"/>
          </w:tcPr>
          <w:p w14:paraId="56BFD3C8" w14:textId="77777777" w:rsidR="00055DEA" w:rsidRPr="007A02F2" w:rsidRDefault="00055DEA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</w:pPr>
          </w:p>
        </w:tc>
      </w:tr>
      <w:tr w:rsidR="00055DEA" w14:paraId="07F78CF1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7E4C02A6" w14:textId="77777777" w:rsidR="00055DEA" w:rsidRPr="002660A0" w:rsidRDefault="00055DEA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450E9650" w14:textId="1552C450" w:rsidR="00055DEA" w:rsidRPr="001E575D" w:rsidRDefault="00055DEA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 w:rsidRPr="001E575D">
              <w:rPr>
                <w:rFonts w:ascii="Segoe UI Light" w:hAnsi="Segoe UI Light"/>
                <w:bCs/>
                <w:i/>
                <w:szCs w:val="24"/>
              </w:rPr>
              <w:t>N.</w:t>
            </w:r>
            <w:r w:rsidR="00246AE6">
              <w:rPr>
                <w:rFonts w:ascii="Segoe UI Light" w:hAnsi="Segoe UI Light"/>
                <w:bCs/>
                <w:i/>
                <w:szCs w:val="24"/>
              </w:rPr>
              <w:t xml:space="preserve"> 0</w:t>
            </w:r>
          </w:p>
        </w:tc>
        <w:tc>
          <w:tcPr>
            <w:tcW w:w="653" w:type="pct"/>
            <w:vAlign w:val="center"/>
          </w:tcPr>
          <w:p w14:paraId="5BA94637" w14:textId="77777777" w:rsidR="00055DEA" w:rsidRPr="001E575D" w:rsidRDefault="00055DEA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 w:rsidRPr="001E575D">
              <w:rPr>
                <w:rFonts w:ascii="Segoe UI Light" w:hAnsi="Segoe UI Light"/>
                <w:bCs/>
                <w:i/>
                <w:szCs w:val="24"/>
              </w:rPr>
              <w:t>%</w:t>
            </w:r>
          </w:p>
        </w:tc>
      </w:tr>
      <w:tr w:rsidR="008F3908" w14:paraId="012FF934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3EE6AEAD" w14:textId="77777777" w:rsidR="008F3908" w:rsidRPr="00055DEA" w:rsidRDefault="008F3908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055DEA">
              <w:rPr>
                <w:rFonts w:ascii="Segoe UI Light" w:hAnsi="Segoe UI Light"/>
                <w:i/>
                <w:szCs w:val="24"/>
              </w:rPr>
              <w:t>Area organizzativa (accesso, percorsi clinico assistenziali, trasferimenti, trasporti)</w:t>
            </w:r>
          </w:p>
        </w:tc>
        <w:tc>
          <w:tcPr>
            <w:tcW w:w="655" w:type="pct"/>
            <w:vAlign w:val="center"/>
          </w:tcPr>
          <w:p w14:paraId="32C7F45F" w14:textId="77777777" w:rsidR="008F3908" w:rsidRPr="007A02F2" w:rsidRDefault="008F390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3BF6ABF7" w14:textId="77777777" w:rsidR="008F3908" w:rsidRPr="007A02F2" w:rsidRDefault="008F390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</w:tr>
      <w:tr w:rsidR="008F3908" w14:paraId="49D3A070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2877E488" w14:textId="77777777" w:rsidR="008F3908" w:rsidRPr="00055DEA" w:rsidRDefault="008F3908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055DEA">
              <w:rPr>
                <w:rFonts w:ascii="Segoe UI Light" w:hAnsi="Segoe UI Light"/>
                <w:i/>
                <w:szCs w:val="24"/>
              </w:rPr>
              <w:t>Area terapia (prescrizione, somministrazione, preparazione, conservazione, approvvigionamento farmaci)</w:t>
            </w:r>
          </w:p>
        </w:tc>
        <w:tc>
          <w:tcPr>
            <w:tcW w:w="655" w:type="pct"/>
            <w:vAlign w:val="center"/>
          </w:tcPr>
          <w:p w14:paraId="1A87086E" w14:textId="4B28B2E4" w:rsidR="008F3908" w:rsidRPr="007A02F2" w:rsidRDefault="00246AE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N.</w:t>
            </w:r>
            <w:r w:rsidR="0052662C">
              <w:rPr>
                <w:rFonts w:ascii="Segoe UI Light" w:hAnsi="Segoe UI Light"/>
                <w:bCs/>
                <w:i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14:paraId="495B2CD4" w14:textId="725B0446" w:rsidR="008F3908" w:rsidRPr="007A02F2" w:rsidRDefault="00246AE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%</w:t>
            </w:r>
          </w:p>
        </w:tc>
      </w:tr>
      <w:tr w:rsidR="008F3908" w14:paraId="066C5D62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56BEBB8F" w14:textId="77777777" w:rsidR="008F3908" w:rsidRPr="00055DEA" w:rsidRDefault="008F3908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055DEA">
              <w:rPr>
                <w:rFonts w:ascii="Segoe UI Light" w:hAnsi="Segoe UI Light"/>
                <w:i/>
                <w:szCs w:val="24"/>
              </w:rPr>
              <w:t>Area assistenza (valutazione paziente, infezioni correlate all’assistenza, lesioni da pressione, nutrizione, emoderivati, procedure diagnostiche e terapeutiche)</w:t>
            </w:r>
          </w:p>
        </w:tc>
        <w:tc>
          <w:tcPr>
            <w:tcW w:w="655" w:type="pct"/>
            <w:vAlign w:val="center"/>
          </w:tcPr>
          <w:p w14:paraId="6E2E32BD" w14:textId="13588E45" w:rsidR="008F3908" w:rsidRPr="007A02F2" w:rsidRDefault="00246AE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N.</w:t>
            </w:r>
            <w:r w:rsidR="00211F67">
              <w:rPr>
                <w:rFonts w:ascii="Segoe UI Light" w:hAnsi="Segoe UI Light"/>
                <w:bCs/>
                <w:i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14:paraId="7D5D7C09" w14:textId="4756A8EF" w:rsidR="008F3908" w:rsidRPr="007A02F2" w:rsidRDefault="00246AE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%</w:t>
            </w:r>
          </w:p>
        </w:tc>
      </w:tr>
      <w:tr w:rsidR="008F3908" w14:paraId="76B849E8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064732AD" w14:textId="77777777" w:rsidR="008F3908" w:rsidRPr="00055DEA" w:rsidRDefault="008F3908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055DEA">
              <w:rPr>
                <w:rFonts w:ascii="Segoe UI Light" w:hAnsi="Segoe UI Light"/>
                <w:i/>
                <w:szCs w:val="24"/>
              </w:rPr>
              <w:t>Area diritti del paziente (comunicazione, comportamenti non corretti da parte degli operatori, rispetto procedure, identificazione paziente)</w:t>
            </w:r>
          </w:p>
        </w:tc>
        <w:tc>
          <w:tcPr>
            <w:tcW w:w="655" w:type="pct"/>
            <w:vAlign w:val="center"/>
          </w:tcPr>
          <w:p w14:paraId="746FC18E" w14:textId="0AE28CC5" w:rsidR="008F3908" w:rsidRPr="007A02F2" w:rsidRDefault="00246AE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N.</w:t>
            </w:r>
            <w:r w:rsidR="00211F67">
              <w:rPr>
                <w:rFonts w:ascii="Segoe UI Light" w:hAnsi="Segoe UI Light"/>
                <w:bCs/>
                <w:i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14:paraId="7E6152F4" w14:textId="303F0D07" w:rsidR="008F3908" w:rsidRPr="007A02F2" w:rsidRDefault="0052662C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%</w:t>
            </w:r>
          </w:p>
        </w:tc>
      </w:tr>
      <w:tr w:rsidR="008F3908" w14:paraId="57F7F9BE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16F83F72" w14:textId="77777777" w:rsidR="008F3908" w:rsidRPr="00055DEA" w:rsidRDefault="008F3908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055DEA">
              <w:rPr>
                <w:rFonts w:ascii="Segoe UI Light" w:hAnsi="Segoe UI Light"/>
                <w:i/>
                <w:szCs w:val="24"/>
              </w:rPr>
              <w:t>Area infrastrutture (</w:t>
            </w:r>
            <w:proofErr w:type="gramStart"/>
            <w:r w:rsidRPr="00055DEA">
              <w:rPr>
                <w:rFonts w:ascii="Segoe UI Light" w:hAnsi="Segoe UI Light"/>
                <w:i/>
                <w:szCs w:val="24"/>
              </w:rPr>
              <w:t>apparecchiature ,</w:t>
            </w:r>
            <w:proofErr w:type="gramEnd"/>
            <w:r w:rsidRPr="00055DEA">
              <w:rPr>
                <w:rFonts w:ascii="Segoe UI Light" w:hAnsi="Segoe UI Light"/>
                <w:i/>
                <w:szCs w:val="24"/>
              </w:rPr>
              <w:t xml:space="preserve"> elettromedicali, impianti e rete informatica, strutture)</w:t>
            </w:r>
          </w:p>
        </w:tc>
        <w:tc>
          <w:tcPr>
            <w:tcW w:w="655" w:type="pct"/>
            <w:vAlign w:val="center"/>
          </w:tcPr>
          <w:p w14:paraId="4CA6BD1F" w14:textId="7289224C" w:rsidR="008F3908" w:rsidRPr="007A02F2" w:rsidRDefault="00246AE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N.0</w:t>
            </w:r>
          </w:p>
        </w:tc>
        <w:tc>
          <w:tcPr>
            <w:tcW w:w="653" w:type="pct"/>
            <w:vAlign w:val="center"/>
          </w:tcPr>
          <w:p w14:paraId="33B23DC2" w14:textId="77777777" w:rsidR="008F3908" w:rsidRPr="007A02F2" w:rsidRDefault="008F390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</w:tr>
      <w:tr w:rsidR="008F3908" w14:paraId="25DBB50A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5F34C5B0" w14:textId="77777777" w:rsidR="008F3908" w:rsidRPr="00055DEA" w:rsidRDefault="008F3908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055DEA">
              <w:rPr>
                <w:rFonts w:ascii="Segoe UI Light" w:hAnsi="Segoe UI Light"/>
                <w:i/>
                <w:szCs w:val="24"/>
              </w:rPr>
              <w:t>Altro</w:t>
            </w:r>
          </w:p>
        </w:tc>
        <w:tc>
          <w:tcPr>
            <w:tcW w:w="655" w:type="pct"/>
            <w:vAlign w:val="center"/>
          </w:tcPr>
          <w:p w14:paraId="0690DEB6" w14:textId="77777777" w:rsidR="008F3908" w:rsidRPr="007A02F2" w:rsidRDefault="008F390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7EBCA390" w14:textId="77777777" w:rsidR="008F3908" w:rsidRPr="007A02F2" w:rsidRDefault="008F390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</w:tr>
      <w:tr w:rsidR="00055DEA" w14:paraId="491BC263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78BCFF7F" w14:textId="77777777" w:rsidR="00055DEA" w:rsidRPr="002660A0" w:rsidRDefault="00055DEA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05A29431" w14:textId="77777777" w:rsidR="00055DEA" w:rsidRPr="007A02F2" w:rsidRDefault="00055DEA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</w:pPr>
            <w:r w:rsidRPr="007A02F2"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  <w:t>N.</w:t>
            </w:r>
          </w:p>
        </w:tc>
      </w:tr>
      <w:tr w:rsidR="00055DEA" w14:paraId="71E6DD1C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48FD3EB5" w14:textId="77777777" w:rsidR="00055DEA" w:rsidRPr="00055DEA" w:rsidRDefault="007A02F2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i/>
                <w:sz w:val="24"/>
                <w:szCs w:val="24"/>
              </w:rPr>
            </w:pPr>
            <w:r>
              <w:rPr>
                <w:rFonts w:ascii="Segoe UI Light" w:hAnsi="Segoe UI Light"/>
                <w:b/>
                <w:i/>
                <w:sz w:val="24"/>
                <w:szCs w:val="24"/>
              </w:rPr>
              <w:t>-</w:t>
            </w:r>
            <w:r w:rsidR="001E575D">
              <w:rPr>
                <w:rFonts w:ascii="Segoe UI Light" w:hAnsi="Segoe UI Light"/>
                <w:b/>
                <w:i/>
                <w:sz w:val="24"/>
                <w:szCs w:val="24"/>
              </w:rPr>
              <w:t xml:space="preserve"> </w:t>
            </w:r>
            <w:r w:rsidR="00055DEA" w:rsidRPr="00055DEA">
              <w:rPr>
                <w:rFonts w:ascii="Segoe UI Light" w:hAnsi="Segoe UI Light"/>
                <w:b/>
                <w:i/>
                <w:sz w:val="24"/>
                <w:szCs w:val="24"/>
              </w:rPr>
              <w:t>Violenza su operatore</w:t>
            </w:r>
          </w:p>
        </w:tc>
        <w:tc>
          <w:tcPr>
            <w:tcW w:w="1308" w:type="pct"/>
            <w:gridSpan w:val="2"/>
            <w:vAlign w:val="center"/>
          </w:tcPr>
          <w:p w14:paraId="365B916D" w14:textId="11918F90" w:rsidR="00055DEA" w:rsidRPr="007A02F2" w:rsidRDefault="00246AE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</w:pPr>
            <w:r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055DEA" w14:paraId="79E8BB7B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40BD6532" w14:textId="77777777" w:rsidR="00055DEA" w:rsidRPr="00055DEA" w:rsidRDefault="007A02F2" w:rsidP="00403EB0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i/>
                <w:sz w:val="24"/>
                <w:szCs w:val="24"/>
              </w:rPr>
            </w:pPr>
            <w:r>
              <w:rPr>
                <w:rFonts w:ascii="Segoe UI Light" w:hAnsi="Segoe UI Light"/>
                <w:b/>
                <w:i/>
                <w:sz w:val="24"/>
                <w:szCs w:val="24"/>
              </w:rPr>
              <w:t>-</w:t>
            </w:r>
            <w:r w:rsidR="001E575D">
              <w:rPr>
                <w:rFonts w:ascii="Segoe UI Light" w:hAnsi="Segoe UI Light"/>
                <w:b/>
                <w:i/>
                <w:sz w:val="24"/>
                <w:szCs w:val="24"/>
              </w:rPr>
              <w:t xml:space="preserve"> </w:t>
            </w:r>
            <w:r w:rsidR="00055DEA" w:rsidRPr="00055DEA">
              <w:rPr>
                <w:rFonts w:ascii="Segoe UI Light" w:hAnsi="Segoe UI Light"/>
                <w:b/>
                <w:i/>
                <w:sz w:val="24"/>
                <w:szCs w:val="24"/>
              </w:rPr>
              <w:t>Cadute</w:t>
            </w:r>
          </w:p>
        </w:tc>
        <w:tc>
          <w:tcPr>
            <w:tcW w:w="1308" w:type="pct"/>
            <w:gridSpan w:val="2"/>
            <w:vAlign w:val="center"/>
          </w:tcPr>
          <w:p w14:paraId="3CE009E7" w14:textId="0B04B746" w:rsidR="00055DEA" w:rsidRPr="007A02F2" w:rsidRDefault="00211F67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</w:pPr>
            <w:r>
              <w:rPr>
                <w:rFonts w:ascii="Segoe UI Light" w:hAnsi="Segoe UI Light"/>
                <w:b/>
                <w:bCs/>
                <w:i/>
                <w:sz w:val="24"/>
                <w:szCs w:val="24"/>
              </w:rPr>
              <w:t>35</w:t>
            </w:r>
          </w:p>
        </w:tc>
      </w:tr>
      <w:tr w:rsidR="00150196" w14:paraId="7F0807E2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706D5258" w14:textId="77777777" w:rsidR="00150196" w:rsidRPr="002660A0" w:rsidRDefault="00150196" w:rsidP="00403EB0">
            <w:pPr>
              <w:tabs>
                <w:tab w:val="left" w:pos="2880"/>
                <w:tab w:val="left" w:pos="3240"/>
              </w:tabs>
              <w:spacing w:after="0"/>
              <w:jc w:val="center"/>
              <w:rPr>
                <w:rFonts w:ascii="Segoe UI Light" w:hAnsi="Segoe UI Light"/>
                <w:b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2CFCF321" w14:textId="0D7F60FC" w:rsidR="00150196" w:rsidRPr="007A02F2" w:rsidRDefault="00150196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sz w:val="24"/>
                <w:szCs w:val="24"/>
              </w:rPr>
            </w:pPr>
            <w:r w:rsidRPr="007A02F2">
              <w:rPr>
                <w:rFonts w:ascii="Segoe UI Light" w:hAnsi="Segoe UI Light"/>
                <w:b/>
                <w:bCs/>
                <w:sz w:val="28"/>
                <w:szCs w:val="24"/>
              </w:rPr>
              <w:t>N.</w:t>
            </w:r>
            <w:r w:rsidR="00014FE4">
              <w:rPr>
                <w:rFonts w:ascii="Segoe UI Light" w:hAnsi="Segoe UI Light"/>
                <w:b/>
                <w:bCs/>
                <w:sz w:val="28"/>
                <w:szCs w:val="24"/>
              </w:rPr>
              <w:t xml:space="preserve"> </w:t>
            </w:r>
            <w:r w:rsidR="0052662C">
              <w:rPr>
                <w:rFonts w:ascii="Segoe UI Light" w:hAnsi="Segoe UI Light"/>
                <w:b/>
                <w:bCs/>
                <w:sz w:val="28"/>
                <w:szCs w:val="24"/>
              </w:rPr>
              <w:t>3</w:t>
            </w:r>
            <w:r w:rsidR="00211F67">
              <w:rPr>
                <w:rFonts w:ascii="Segoe UI Light" w:hAnsi="Segoe UI Light"/>
                <w:b/>
                <w:bCs/>
                <w:sz w:val="28"/>
                <w:szCs w:val="24"/>
              </w:rPr>
              <w:t>5</w:t>
            </w:r>
          </w:p>
        </w:tc>
      </w:tr>
      <w:tr w:rsidR="007A02F2" w14:paraId="724705C5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  <w:vMerge w:val="restart"/>
          </w:tcPr>
          <w:p w14:paraId="72237391" w14:textId="77777777" w:rsidR="007A02F2" w:rsidRPr="00150196" w:rsidRDefault="007A02F2" w:rsidP="007A02F2">
            <w:pPr>
              <w:tabs>
                <w:tab w:val="left" w:pos="2880"/>
                <w:tab w:val="left" w:pos="3240"/>
              </w:tabs>
              <w:spacing w:after="0" w:line="360" w:lineRule="auto"/>
              <w:jc w:val="right"/>
              <w:rPr>
                <w:rFonts w:ascii="Segoe UI Light" w:hAnsi="Segoe UI Light"/>
                <w:b/>
                <w:sz w:val="28"/>
                <w:szCs w:val="24"/>
              </w:rPr>
            </w:pPr>
            <w:r>
              <w:rPr>
                <w:rFonts w:ascii="Segoe UI Light" w:hAnsi="Segoe UI Light"/>
                <w:b/>
                <w:sz w:val="28"/>
                <w:szCs w:val="24"/>
              </w:rPr>
              <w:t>S</w:t>
            </w:r>
            <w:r w:rsidRPr="00150196">
              <w:rPr>
                <w:rFonts w:ascii="Segoe UI Light" w:hAnsi="Segoe UI Light"/>
                <w:b/>
                <w:sz w:val="28"/>
                <w:szCs w:val="24"/>
              </w:rPr>
              <w:t xml:space="preserve">egnalazioni che hanno richiesto approfondimento, </w:t>
            </w:r>
          </w:p>
          <w:p w14:paraId="5515754A" w14:textId="77777777" w:rsidR="007A02F2" w:rsidRPr="00150196" w:rsidRDefault="007A02F2" w:rsidP="007A02F2">
            <w:pPr>
              <w:tabs>
                <w:tab w:val="left" w:pos="2880"/>
                <w:tab w:val="left" w:pos="3240"/>
              </w:tabs>
              <w:spacing w:after="0" w:line="360" w:lineRule="auto"/>
              <w:jc w:val="right"/>
              <w:rPr>
                <w:rFonts w:ascii="Segoe UI Light" w:hAnsi="Segoe UI Light"/>
                <w:b/>
                <w:sz w:val="28"/>
                <w:szCs w:val="24"/>
              </w:rPr>
            </w:pPr>
            <w:r w:rsidRPr="00150196">
              <w:rPr>
                <w:rFonts w:ascii="Segoe UI Light" w:hAnsi="Segoe UI Light"/>
                <w:b/>
                <w:sz w:val="28"/>
                <w:szCs w:val="24"/>
              </w:rPr>
              <w:t>di cui</w:t>
            </w:r>
          </w:p>
        </w:tc>
        <w:tc>
          <w:tcPr>
            <w:tcW w:w="1308" w:type="pct"/>
            <w:gridSpan w:val="2"/>
            <w:vAlign w:val="center"/>
          </w:tcPr>
          <w:p w14:paraId="33417C37" w14:textId="77777777" w:rsidR="007A02F2" w:rsidRPr="007A02F2" w:rsidRDefault="007A02F2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sz w:val="28"/>
                <w:szCs w:val="24"/>
              </w:rPr>
            </w:pPr>
          </w:p>
        </w:tc>
      </w:tr>
      <w:tr w:rsidR="007A02F2" w14:paraId="2B671A11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  <w:vMerge/>
          </w:tcPr>
          <w:p w14:paraId="29B554D3" w14:textId="77777777" w:rsidR="007A02F2" w:rsidRPr="002660A0" w:rsidRDefault="007A02F2" w:rsidP="00403EB0">
            <w:pPr>
              <w:tabs>
                <w:tab w:val="left" w:pos="2880"/>
                <w:tab w:val="left" w:pos="3240"/>
              </w:tabs>
              <w:spacing w:after="0" w:line="240" w:lineRule="auto"/>
              <w:jc w:val="right"/>
              <w:rPr>
                <w:rFonts w:ascii="Segoe UI Light" w:hAnsi="Segoe UI Light"/>
                <w:i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2C83D8AD" w14:textId="3CCFB446" w:rsidR="007A02F2" w:rsidRPr="001E575D" w:rsidRDefault="007A02F2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 w:val="24"/>
                <w:szCs w:val="24"/>
              </w:rPr>
            </w:pPr>
            <w:r w:rsidRPr="001E575D">
              <w:rPr>
                <w:rFonts w:ascii="Segoe UI Light" w:hAnsi="Segoe UI Light"/>
                <w:bCs/>
                <w:i/>
                <w:sz w:val="24"/>
                <w:szCs w:val="24"/>
              </w:rPr>
              <w:t>N.</w:t>
            </w:r>
            <w:r w:rsidR="0052662C">
              <w:rPr>
                <w:rFonts w:ascii="Segoe UI Light" w:hAnsi="Segoe UI Light"/>
                <w:bCs/>
                <w:i/>
                <w:sz w:val="24"/>
                <w:szCs w:val="24"/>
              </w:rPr>
              <w:t xml:space="preserve"> </w:t>
            </w:r>
            <w:r w:rsidR="00211F67">
              <w:rPr>
                <w:rFonts w:ascii="Segoe UI Light" w:hAnsi="Segoe UI Light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14:paraId="591C3D43" w14:textId="77777777" w:rsidR="007A02F2" w:rsidRPr="001E575D" w:rsidRDefault="007A02F2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 w:val="20"/>
                <w:szCs w:val="24"/>
              </w:rPr>
            </w:pPr>
            <w:r w:rsidRPr="001E575D">
              <w:rPr>
                <w:rFonts w:ascii="Segoe UI Light" w:hAnsi="Segoe UI Light"/>
                <w:bCs/>
                <w:i/>
                <w:sz w:val="20"/>
                <w:szCs w:val="24"/>
              </w:rPr>
              <w:t>% su segnalazioni approfondite</w:t>
            </w:r>
          </w:p>
        </w:tc>
      </w:tr>
      <w:tr w:rsidR="00BD5A28" w14:paraId="069446B9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2D5FD924" w14:textId="77777777" w:rsidR="00BD5A28" w:rsidRPr="007A02F2" w:rsidRDefault="00BD5A28" w:rsidP="007A02F2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7A02F2">
              <w:rPr>
                <w:rFonts w:ascii="Segoe UI Light" w:hAnsi="Segoe UI Light"/>
                <w:i/>
                <w:szCs w:val="24"/>
              </w:rPr>
              <w:t>RCA</w:t>
            </w:r>
          </w:p>
        </w:tc>
        <w:tc>
          <w:tcPr>
            <w:tcW w:w="655" w:type="pct"/>
            <w:vAlign w:val="center"/>
          </w:tcPr>
          <w:p w14:paraId="511A012F" w14:textId="77777777" w:rsidR="00BD5A28" w:rsidRPr="007A02F2" w:rsidRDefault="00BD5A2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6DAC505F" w14:textId="77777777" w:rsidR="00BD5A28" w:rsidRPr="007A02F2" w:rsidRDefault="00BD5A2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</w:tr>
      <w:tr w:rsidR="00BD5A28" w14:paraId="35AD9F40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0169E494" w14:textId="77777777" w:rsidR="00BD5A28" w:rsidRPr="007A02F2" w:rsidRDefault="0049105F" w:rsidP="007A02F2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7A02F2">
              <w:rPr>
                <w:rFonts w:ascii="Segoe UI Light" w:hAnsi="Segoe UI Light"/>
                <w:i/>
                <w:szCs w:val="24"/>
              </w:rPr>
              <w:t>A</w:t>
            </w:r>
            <w:r w:rsidR="00BD5A28" w:rsidRPr="007A02F2">
              <w:rPr>
                <w:rFonts w:ascii="Segoe UI Light" w:hAnsi="Segoe UI Light"/>
                <w:i/>
                <w:szCs w:val="24"/>
              </w:rPr>
              <w:t>udit strutturato</w:t>
            </w:r>
          </w:p>
        </w:tc>
        <w:tc>
          <w:tcPr>
            <w:tcW w:w="655" w:type="pct"/>
            <w:vAlign w:val="center"/>
          </w:tcPr>
          <w:p w14:paraId="5672AC2D" w14:textId="16AD838A" w:rsidR="00BD5A28" w:rsidRPr="007A02F2" w:rsidRDefault="00211F67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14:paraId="08440CD9" w14:textId="77777777" w:rsidR="00BD5A28" w:rsidRPr="007A02F2" w:rsidRDefault="00BD5A2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</w:tr>
      <w:tr w:rsidR="00BD5A28" w14:paraId="2AD10012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60C3197D" w14:textId="77777777" w:rsidR="00BD5A28" w:rsidRPr="007A02F2" w:rsidRDefault="0049105F" w:rsidP="007A02F2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7A02F2">
              <w:rPr>
                <w:rFonts w:ascii="Segoe UI Light" w:hAnsi="Segoe UI Light"/>
                <w:i/>
                <w:szCs w:val="24"/>
              </w:rPr>
              <w:t>A</w:t>
            </w:r>
            <w:r w:rsidR="00BD5A28" w:rsidRPr="007A02F2">
              <w:rPr>
                <w:rFonts w:ascii="Segoe UI Light" w:hAnsi="Segoe UI Light"/>
                <w:i/>
                <w:szCs w:val="24"/>
              </w:rPr>
              <w:t>udit breve</w:t>
            </w:r>
          </w:p>
        </w:tc>
        <w:tc>
          <w:tcPr>
            <w:tcW w:w="655" w:type="pct"/>
            <w:vAlign w:val="center"/>
          </w:tcPr>
          <w:p w14:paraId="37B5B5F0" w14:textId="4D6E2C7D" w:rsidR="00BD5A28" w:rsidRPr="007A02F2" w:rsidRDefault="00211F67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14:paraId="511196BF" w14:textId="77777777" w:rsidR="00BD5A28" w:rsidRPr="007A02F2" w:rsidRDefault="00BD5A2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</w:tr>
      <w:tr w:rsidR="00BD5A28" w14:paraId="2AC9C098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2EFC6E7C" w14:textId="77777777" w:rsidR="00BD5A28" w:rsidRPr="007A02F2" w:rsidRDefault="0049105F" w:rsidP="007A02F2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i/>
                <w:szCs w:val="24"/>
              </w:rPr>
            </w:pPr>
            <w:r w:rsidRPr="007A02F2">
              <w:rPr>
                <w:rFonts w:ascii="Segoe UI Light" w:hAnsi="Segoe UI Light"/>
                <w:i/>
                <w:szCs w:val="24"/>
              </w:rPr>
              <w:t>Altro</w:t>
            </w:r>
          </w:p>
        </w:tc>
        <w:tc>
          <w:tcPr>
            <w:tcW w:w="655" w:type="pct"/>
            <w:vAlign w:val="center"/>
          </w:tcPr>
          <w:p w14:paraId="25274A83" w14:textId="3E3FD3FD" w:rsidR="00BD5A28" w:rsidRPr="007A02F2" w:rsidRDefault="00DB4973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  <w:r>
              <w:rPr>
                <w:rFonts w:ascii="Segoe UI Light" w:hAnsi="Segoe UI Light"/>
                <w:bCs/>
                <w:i/>
                <w:szCs w:val="24"/>
              </w:rPr>
              <w:t>Segnalazione dispositivo diagnosi in vitro</w:t>
            </w:r>
          </w:p>
        </w:tc>
        <w:tc>
          <w:tcPr>
            <w:tcW w:w="653" w:type="pct"/>
            <w:vAlign w:val="center"/>
          </w:tcPr>
          <w:p w14:paraId="6F6257A8" w14:textId="77777777" w:rsidR="00BD5A28" w:rsidRPr="007A02F2" w:rsidRDefault="00BD5A2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Cs/>
                <w:i/>
                <w:szCs w:val="24"/>
              </w:rPr>
            </w:pPr>
          </w:p>
        </w:tc>
      </w:tr>
      <w:tr w:rsidR="00BD5A28" w14:paraId="47DF79FB" w14:textId="77777777" w:rsidTr="007A02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18EE44BD" w14:textId="77777777" w:rsidR="00BD5A28" w:rsidRPr="002660A0" w:rsidRDefault="00BD5A28" w:rsidP="00403EB0">
            <w:pPr>
              <w:tabs>
                <w:tab w:val="left" w:pos="2880"/>
                <w:tab w:val="left" w:pos="3240"/>
              </w:tabs>
              <w:spacing w:after="0" w:line="240" w:lineRule="auto"/>
              <w:jc w:val="right"/>
              <w:rPr>
                <w:rFonts w:ascii="Segoe UI Light" w:hAnsi="Segoe UI Light"/>
                <w:b/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14:paraId="07CFBF03" w14:textId="104A6C82" w:rsidR="00BD5A28" w:rsidRPr="007A02F2" w:rsidRDefault="00BD5A28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sz w:val="24"/>
                <w:szCs w:val="24"/>
              </w:rPr>
            </w:pPr>
            <w:r w:rsidRPr="007A02F2">
              <w:rPr>
                <w:rFonts w:ascii="Segoe UI Light" w:hAnsi="Segoe UI Light"/>
                <w:b/>
                <w:bCs/>
                <w:sz w:val="28"/>
                <w:szCs w:val="24"/>
              </w:rPr>
              <w:t>N.</w:t>
            </w:r>
            <w:r w:rsidR="00DB4973">
              <w:rPr>
                <w:rFonts w:ascii="Segoe UI Light" w:hAnsi="Segoe UI Light"/>
                <w:b/>
                <w:bCs/>
                <w:sz w:val="28"/>
                <w:szCs w:val="24"/>
              </w:rPr>
              <w:t xml:space="preserve"> </w:t>
            </w:r>
            <w:r w:rsidR="0052662C">
              <w:rPr>
                <w:rFonts w:ascii="Segoe UI Light" w:hAnsi="Segoe UI Light"/>
                <w:b/>
                <w:bCs/>
                <w:sz w:val="28"/>
                <w:szCs w:val="24"/>
              </w:rPr>
              <w:t>0</w:t>
            </w:r>
          </w:p>
        </w:tc>
      </w:tr>
      <w:tr w:rsidR="0049105F" w14:paraId="61860941" w14:textId="77777777" w:rsidTr="007A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pct"/>
          </w:tcPr>
          <w:p w14:paraId="63576C3F" w14:textId="77777777" w:rsidR="0049105F" w:rsidRPr="00150196" w:rsidRDefault="00150196" w:rsidP="00150196">
            <w:pPr>
              <w:tabs>
                <w:tab w:val="left" w:pos="2880"/>
                <w:tab w:val="left" w:pos="3240"/>
              </w:tabs>
              <w:spacing w:after="0"/>
              <w:jc w:val="right"/>
              <w:rPr>
                <w:rFonts w:ascii="Segoe UI Light" w:hAnsi="Segoe UI Light"/>
                <w:b/>
                <w:sz w:val="28"/>
                <w:szCs w:val="24"/>
              </w:rPr>
            </w:pPr>
            <w:r w:rsidRPr="00150196">
              <w:rPr>
                <w:rFonts w:ascii="Segoe UI Light" w:hAnsi="Segoe UI Light"/>
                <w:b/>
                <w:sz w:val="28"/>
                <w:szCs w:val="24"/>
              </w:rPr>
              <w:lastRenderedPageBreak/>
              <w:t>A</w:t>
            </w:r>
            <w:r w:rsidR="0049105F" w:rsidRPr="00150196">
              <w:rPr>
                <w:rFonts w:ascii="Segoe UI Light" w:hAnsi="Segoe UI Light"/>
                <w:b/>
                <w:sz w:val="28"/>
                <w:szCs w:val="24"/>
              </w:rPr>
              <w:t>zioni di miglioramento attuate nell’anno</w:t>
            </w:r>
          </w:p>
        </w:tc>
        <w:tc>
          <w:tcPr>
            <w:tcW w:w="1308" w:type="pct"/>
            <w:gridSpan w:val="2"/>
            <w:vAlign w:val="center"/>
          </w:tcPr>
          <w:p w14:paraId="2BE09377" w14:textId="12C22623" w:rsidR="0049105F" w:rsidRPr="007A02F2" w:rsidRDefault="00211F67" w:rsidP="007A02F2">
            <w:pPr>
              <w:tabs>
                <w:tab w:val="left" w:pos="2880"/>
                <w:tab w:val="left" w:pos="32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/>
                <w:b/>
                <w:bCs/>
                <w:sz w:val="28"/>
                <w:szCs w:val="24"/>
              </w:rPr>
            </w:pPr>
            <w:r>
              <w:rPr>
                <w:rFonts w:ascii="Segoe UI Light" w:hAnsi="Segoe UI Light"/>
                <w:b/>
                <w:bCs/>
                <w:sz w:val="28"/>
                <w:szCs w:val="24"/>
              </w:rPr>
              <w:t>0</w:t>
            </w:r>
          </w:p>
        </w:tc>
      </w:tr>
    </w:tbl>
    <w:p w14:paraId="6E1DF853" w14:textId="77777777" w:rsidR="0039353F" w:rsidRDefault="0039353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p w14:paraId="0ECC6FB5" w14:textId="77777777" w:rsidR="0039353F" w:rsidRDefault="0039353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p w14:paraId="53E6276D" w14:textId="77777777" w:rsidR="0049105F" w:rsidRDefault="0049105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p w14:paraId="3F837509" w14:textId="77777777" w:rsidR="0049105F" w:rsidRDefault="0049105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p w14:paraId="312DBE73" w14:textId="77777777" w:rsidR="0049105F" w:rsidRDefault="0049105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p w14:paraId="42F015FF" w14:textId="77777777" w:rsidR="0049105F" w:rsidRDefault="0049105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p w14:paraId="0F88B7C6" w14:textId="77777777" w:rsidR="0039353F" w:rsidRDefault="0039353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5"/>
        <w:gridCol w:w="1700"/>
        <w:gridCol w:w="480"/>
        <w:gridCol w:w="1222"/>
        <w:gridCol w:w="478"/>
        <w:gridCol w:w="1222"/>
        <w:gridCol w:w="764"/>
        <w:gridCol w:w="148"/>
        <w:gridCol w:w="3526"/>
        <w:gridCol w:w="1463"/>
        <w:gridCol w:w="360"/>
        <w:gridCol w:w="1820"/>
      </w:tblGrid>
      <w:tr w:rsidR="0039353F" w:rsidRPr="0039353F" w14:paraId="7DB7CF17" w14:textId="77777777" w:rsidTr="00C87BDA">
        <w:trPr>
          <w:trHeight w:val="465"/>
        </w:trPr>
        <w:tc>
          <w:tcPr>
            <w:tcW w:w="1979" w:type="pct"/>
            <w:gridSpan w:val="5"/>
            <w:noWrap/>
            <w:vAlign w:val="bottom"/>
            <w:hideMark/>
          </w:tcPr>
          <w:p w14:paraId="0AFEDC22" w14:textId="77777777" w:rsidR="0039353F" w:rsidRPr="0039353F" w:rsidRDefault="0039353F" w:rsidP="0039353F">
            <w:pPr>
              <w:spacing w:after="0" w:line="240" w:lineRule="auto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  <w:r w:rsidRPr="0039353F">
              <w:rPr>
                <w:rFonts w:ascii="Segoe UI Light" w:eastAsia="Times New Roman" w:hAnsi="Segoe UI Light" w:cs="Times New Roman"/>
                <w:b/>
                <w:bCs/>
                <w:color w:val="000000"/>
                <w:sz w:val="36"/>
                <w:szCs w:val="36"/>
                <w:lang w:eastAsia="it-IT"/>
              </w:rPr>
              <w:t xml:space="preserve">IMPORTI PAGATI SINISTRI A PERSONE* </w:t>
            </w:r>
          </w:p>
        </w:tc>
        <w:tc>
          <w:tcPr>
            <w:tcW w:w="1838" w:type="pct"/>
            <w:gridSpan w:val="4"/>
            <w:noWrap/>
            <w:vAlign w:val="bottom"/>
            <w:hideMark/>
          </w:tcPr>
          <w:p w14:paraId="6E4FB67A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2" w:type="pct"/>
            <w:gridSpan w:val="2"/>
            <w:noWrap/>
            <w:vAlign w:val="bottom"/>
            <w:hideMark/>
          </w:tcPr>
          <w:p w14:paraId="03185405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575BF44B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</w:tr>
      <w:tr w:rsidR="0039353F" w:rsidRPr="0039353F" w14:paraId="62565EAC" w14:textId="77777777" w:rsidTr="00C87BDA">
        <w:trPr>
          <w:trHeight w:val="765"/>
        </w:trPr>
        <w:tc>
          <w:tcPr>
            <w:tcW w:w="1979" w:type="pct"/>
            <w:gridSpan w:val="5"/>
            <w:vAlign w:val="center"/>
            <w:hideMark/>
          </w:tcPr>
          <w:p w14:paraId="0F90A124" w14:textId="77777777" w:rsidR="0039353F" w:rsidRPr="0039353F" w:rsidRDefault="0039353F" w:rsidP="0039353F">
            <w:pPr>
              <w:spacing w:after="0" w:line="240" w:lineRule="auto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  <w:r w:rsidRPr="0039353F">
              <w:rPr>
                <w:rFonts w:ascii="Segoe UI Light" w:eastAsia="Times New Roman" w:hAnsi="Segoe UI Light" w:cs="Times New Roman"/>
                <w:bCs/>
                <w:color w:val="000000"/>
                <w:sz w:val="18"/>
                <w:lang w:eastAsia="it-IT"/>
              </w:rPr>
              <w:t xml:space="preserve"> *Gli importi indicati nella tabella fanno riferimento esclusivamente ai risarcimenti liquidati in conseguenza di danni biologici subiti dai pazienti degli Enti del S.S.R. </w:t>
            </w:r>
          </w:p>
        </w:tc>
        <w:tc>
          <w:tcPr>
            <w:tcW w:w="1838" w:type="pct"/>
            <w:gridSpan w:val="4"/>
            <w:noWrap/>
            <w:vAlign w:val="bottom"/>
            <w:hideMark/>
          </w:tcPr>
          <w:p w14:paraId="3A829840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2" w:type="pct"/>
            <w:gridSpan w:val="2"/>
            <w:noWrap/>
            <w:vAlign w:val="bottom"/>
            <w:hideMark/>
          </w:tcPr>
          <w:p w14:paraId="3F17B59A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0B9EB36F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</w:tr>
      <w:tr w:rsidR="0039353F" w:rsidRPr="0039353F" w14:paraId="09306C21" w14:textId="77777777" w:rsidTr="00994CCB">
        <w:trPr>
          <w:trHeight w:val="765"/>
        </w:trPr>
        <w:tc>
          <w:tcPr>
            <w:tcW w:w="1427" w:type="pct"/>
            <w:gridSpan w:val="3"/>
            <w:vAlign w:val="center"/>
            <w:hideMark/>
          </w:tcPr>
          <w:p w14:paraId="267AD2EA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bCs/>
                <w:color w:val="000000"/>
                <w:lang w:eastAsia="it-IT"/>
              </w:rPr>
            </w:pPr>
          </w:p>
        </w:tc>
        <w:tc>
          <w:tcPr>
            <w:tcW w:w="552" w:type="pct"/>
            <w:gridSpan w:val="2"/>
            <w:noWrap/>
            <w:vAlign w:val="bottom"/>
            <w:hideMark/>
          </w:tcPr>
          <w:p w14:paraId="50FA1A19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838" w:type="pct"/>
            <w:gridSpan w:val="4"/>
            <w:noWrap/>
            <w:vAlign w:val="bottom"/>
            <w:hideMark/>
          </w:tcPr>
          <w:p w14:paraId="25C808AD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2" w:type="pct"/>
            <w:gridSpan w:val="2"/>
            <w:noWrap/>
            <w:vAlign w:val="bottom"/>
            <w:hideMark/>
          </w:tcPr>
          <w:p w14:paraId="0601954A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05C8F374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</w:tr>
      <w:tr w:rsidR="00994CCB" w:rsidRPr="0039353F" w14:paraId="56295B73" w14:textId="77777777" w:rsidTr="00211F67">
        <w:trPr>
          <w:gridAfter w:val="2"/>
          <w:wAfter w:w="708" w:type="pct"/>
          <w:trHeight w:val="315"/>
        </w:trPr>
        <w:tc>
          <w:tcPr>
            <w:tcW w:w="719" w:type="pct"/>
            <w:noWrap/>
            <w:vAlign w:val="bottom"/>
            <w:hideMark/>
          </w:tcPr>
          <w:p w14:paraId="21B0F04D" w14:textId="77777777" w:rsidR="00994CCB" w:rsidRPr="0039353F" w:rsidRDefault="00994CCB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9353F">
              <w:rPr>
                <w:rFonts w:ascii="Segoe UI Light" w:eastAsia="Times New Roman" w:hAnsi="Segoe UI Light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2" w:type="pct"/>
            <w:vMerge w:val="restart"/>
            <w:noWrap/>
            <w:vAlign w:val="center"/>
          </w:tcPr>
          <w:p w14:paraId="356954A9" w14:textId="07418036" w:rsidR="00994CCB" w:rsidRPr="0039353F" w:rsidRDefault="00994CCB" w:rsidP="004B5517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</w:pPr>
          </w:p>
        </w:tc>
        <w:tc>
          <w:tcPr>
            <w:tcW w:w="553" w:type="pct"/>
            <w:gridSpan w:val="2"/>
            <w:vMerge w:val="restart"/>
            <w:noWrap/>
            <w:vAlign w:val="center"/>
            <w:hideMark/>
          </w:tcPr>
          <w:p w14:paraId="24E1A313" w14:textId="77777777" w:rsidR="00994CCB" w:rsidRPr="0039353F" w:rsidRDefault="00994CCB" w:rsidP="00C87BDA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</w:pPr>
            <w:r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  <w:t>2021</w:t>
            </w:r>
          </w:p>
        </w:tc>
        <w:tc>
          <w:tcPr>
            <w:tcW w:w="552" w:type="pct"/>
            <w:gridSpan w:val="2"/>
            <w:vMerge w:val="restart"/>
            <w:noWrap/>
            <w:vAlign w:val="center"/>
            <w:hideMark/>
          </w:tcPr>
          <w:p w14:paraId="7F39D4E8" w14:textId="77777777" w:rsidR="00994CCB" w:rsidRPr="0039353F" w:rsidRDefault="00994CCB" w:rsidP="00C87BDA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</w:pPr>
            <w:r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  <w:t>2022</w:t>
            </w:r>
          </w:p>
        </w:tc>
        <w:tc>
          <w:tcPr>
            <w:tcW w:w="1916" w:type="pct"/>
            <w:gridSpan w:val="4"/>
            <w:vMerge w:val="restart"/>
            <w:noWrap/>
            <w:vAlign w:val="center"/>
            <w:hideMark/>
          </w:tcPr>
          <w:p w14:paraId="68A9D3A5" w14:textId="118DC815" w:rsidR="00994CCB" w:rsidRPr="0039353F" w:rsidRDefault="00994CCB" w:rsidP="00C87BDA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</w:pPr>
            <w:r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  <w:t>2023          2024</w:t>
            </w:r>
            <w:r w:rsidR="00211F67">
              <w:rPr>
                <w:rFonts w:ascii="Segoe UI Light" w:eastAsia="Times New Roman" w:hAnsi="Segoe UI Light" w:cs="Times New Roman"/>
                <w:b/>
                <w:bCs/>
                <w:color w:val="000000"/>
                <w:sz w:val="32"/>
                <w:szCs w:val="24"/>
                <w:lang w:eastAsia="it-IT"/>
              </w:rPr>
              <w:t xml:space="preserve">        2025</w:t>
            </w:r>
          </w:p>
        </w:tc>
      </w:tr>
      <w:tr w:rsidR="00994CCB" w:rsidRPr="0039353F" w14:paraId="67283A5C" w14:textId="77777777" w:rsidTr="00211F67">
        <w:trPr>
          <w:gridAfter w:val="2"/>
          <w:wAfter w:w="708" w:type="pct"/>
          <w:trHeight w:val="300"/>
        </w:trPr>
        <w:tc>
          <w:tcPr>
            <w:tcW w:w="719" w:type="pct"/>
            <w:noWrap/>
            <w:vAlign w:val="bottom"/>
            <w:hideMark/>
          </w:tcPr>
          <w:p w14:paraId="0BA623F2" w14:textId="77777777" w:rsidR="00994CCB" w:rsidRPr="0039353F" w:rsidRDefault="00994CCB" w:rsidP="0039353F">
            <w:pPr>
              <w:spacing w:after="0" w:line="240" w:lineRule="auto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noWrap/>
            <w:vAlign w:val="bottom"/>
          </w:tcPr>
          <w:p w14:paraId="2BB839EA" w14:textId="77777777" w:rsidR="00994CCB" w:rsidRPr="0039353F" w:rsidRDefault="00994CCB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53" w:type="pct"/>
            <w:gridSpan w:val="2"/>
            <w:vMerge/>
            <w:noWrap/>
            <w:vAlign w:val="bottom"/>
            <w:hideMark/>
          </w:tcPr>
          <w:p w14:paraId="559290DC" w14:textId="77777777" w:rsidR="00994CCB" w:rsidRPr="0039353F" w:rsidRDefault="00994CCB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gridSpan w:val="2"/>
            <w:vMerge/>
            <w:noWrap/>
            <w:vAlign w:val="bottom"/>
            <w:hideMark/>
          </w:tcPr>
          <w:p w14:paraId="72CC335E" w14:textId="77777777" w:rsidR="00994CCB" w:rsidRPr="0039353F" w:rsidRDefault="00994CCB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916" w:type="pct"/>
            <w:gridSpan w:val="4"/>
            <w:vMerge/>
            <w:noWrap/>
            <w:vAlign w:val="bottom"/>
            <w:hideMark/>
          </w:tcPr>
          <w:p w14:paraId="1EDB891F" w14:textId="77777777" w:rsidR="00994CCB" w:rsidRPr="0039353F" w:rsidRDefault="00994CCB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</w:tr>
      <w:tr w:rsidR="00994CCB" w:rsidRPr="0039353F" w14:paraId="4492636D" w14:textId="77777777" w:rsidTr="00211F67">
        <w:trPr>
          <w:gridAfter w:val="2"/>
          <w:wAfter w:w="708" w:type="pct"/>
          <w:trHeight w:val="300"/>
        </w:trPr>
        <w:tc>
          <w:tcPr>
            <w:tcW w:w="719" w:type="pct"/>
            <w:noWrap/>
            <w:vAlign w:val="bottom"/>
            <w:hideMark/>
          </w:tcPr>
          <w:p w14:paraId="0D53BBEF" w14:textId="77777777" w:rsidR="00994CCB" w:rsidRPr="0039353F" w:rsidRDefault="00994CCB" w:rsidP="0039353F">
            <w:pPr>
              <w:spacing w:after="0" w:line="240" w:lineRule="auto"/>
              <w:ind w:firstLineChars="100" w:firstLine="221"/>
              <w:jc w:val="right"/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2" w:type="pct"/>
            <w:noWrap/>
            <w:vAlign w:val="bottom"/>
          </w:tcPr>
          <w:p w14:paraId="7BD825BF" w14:textId="76E03C08" w:rsidR="00994CCB" w:rsidRPr="0039353F" w:rsidRDefault="00994CCB" w:rsidP="004B5517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53" w:type="pct"/>
            <w:gridSpan w:val="2"/>
            <w:noWrap/>
            <w:vAlign w:val="bottom"/>
            <w:hideMark/>
          </w:tcPr>
          <w:p w14:paraId="2E2CFFF5" w14:textId="5F87F497" w:rsidR="00994CCB" w:rsidRPr="0039353F" w:rsidRDefault="00994CCB" w:rsidP="00C87BDA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  <w:t>121.000 €</w:t>
            </w:r>
          </w:p>
        </w:tc>
        <w:tc>
          <w:tcPr>
            <w:tcW w:w="552" w:type="pct"/>
            <w:gridSpan w:val="2"/>
            <w:noWrap/>
            <w:vAlign w:val="bottom"/>
            <w:hideMark/>
          </w:tcPr>
          <w:p w14:paraId="0F641F51" w14:textId="1F2E823C" w:rsidR="00994CCB" w:rsidRPr="0039353F" w:rsidRDefault="00994CCB" w:rsidP="00C87BDA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  <w:t>27.000 €</w:t>
            </w:r>
          </w:p>
        </w:tc>
        <w:tc>
          <w:tcPr>
            <w:tcW w:w="1916" w:type="pct"/>
            <w:gridSpan w:val="4"/>
            <w:noWrap/>
            <w:vAlign w:val="bottom"/>
            <w:hideMark/>
          </w:tcPr>
          <w:p w14:paraId="0F121A94" w14:textId="7734442B" w:rsidR="00994CCB" w:rsidRPr="0039353F" w:rsidRDefault="00994CCB" w:rsidP="00C87BDA">
            <w:pPr>
              <w:spacing w:after="0" w:line="240" w:lineRule="auto"/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  <w:t>141.000 €            20.000 €</w:t>
            </w:r>
            <w:r w:rsidR="009A4DF4">
              <w:rPr>
                <w:rFonts w:ascii="Segoe UI Light" w:eastAsia="Times New Roman" w:hAnsi="Segoe UI Light" w:cs="Times New Roman"/>
                <w:b/>
                <w:bCs/>
                <w:color w:val="000000"/>
                <w:lang w:eastAsia="it-IT"/>
              </w:rPr>
              <w:t xml:space="preserve">         181.011 €</w:t>
            </w:r>
          </w:p>
        </w:tc>
      </w:tr>
      <w:tr w:rsidR="0039353F" w:rsidRPr="0039353F" w14:paraId="03DB0AE3" w14:textId="77777777" w:rsidTr="00C87BDA">
        <w:trPr>
          <w:trHeight w:val="300"/>
        </w:trPr>
        <w:tc>
          <w:tcPr>
            <w:tcW w:w="719" w:type="pct"/>
            <w:noWrap/>
            <w:vAlign w:val="bottom"/>
            <w:hideMark/>
          </w:tcPr>
          <w:p w14:paraId="3EFD2743" w14:textId="77777777" w:rsidR="0039353F" w:rsidRPr="0039353F" w:rsidRDefault="0039353F" w:rsidP="0039353F">
            <w:pPr>
              <w:spacing w:after="0" w:line="240" w:lineRule="auto"/>
              <w:ind w:firstLineChars="100" w:firstLine="220"/>
              <w:jc w:val="right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905" w:type="pct"/>
            <w:gridSpan w:val="6"/>
            <w:noWrap/>
            <w:vAlign w:val="bottom"/>
            <w:hideMark/>
          </w:tcPr>
          <w:p w14:paraId="10D806F1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48" w:type="pct"/>
            <w:noWrap/>
            <w:vAlign w:val="bottom"/>
            <w:hideMark/>
          </w:tcPr>
          <w:p w14:paraId="4A8EF79C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145" w:type="pct"/>
            <w:noWrap/>
            <w:vAlign w:val="bottom"/>
            <w:hideMark/>
          </w:tcPr>
          <w:p w14:paraId="69BDEE04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2" w:type="pct"/>
            <w:gridSpan w:val="2"/>
            <w:noWrap/>
            <w:vAlign w:val="bottom"/>
            <w:hideMark/>
          </w:tcPr>
          <w:p w14:paraId="36610132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4277AAAA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</w:tr>
      <w:tr w:rsidR="0039353F" w:rsidRPr="0039353F" w14:paraId="265191F4" w14:textId="77777777" w:rsidTr="00C87BDA">
        <w:trPr>
          <w:trHeight w:val="300"/>
        </w:trPr>
        <w:tc>
          <w:tcPr>
            <w:tcW w:w="719" w:type="pct"/>
            <w:noWrap/>
            <w:vAlign w:val="bottom"/>
            <w:hideMark/>
          </w:tcPr>
          <w:p w14:paraId="053D52C0" w14:textId="77777777" w:rsidR="0039353F" w:rsidRPr="0039353F" w:rsidRDefault="0039353F" w:rsidP="0039353F">
            <w:pPr>
              <w:spacing w:after="0" w:line="240" w:lineRule="auto"/>
              <w:ind w:firstLineChars="100" w:firstLine="220"/>
              <w:jc w:val="right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905" w:type="pct"/>
            <w:gridSpan w:val="6"/>
            <w:noWrap/>
            <w:vAlign w:val="bottom"/>
            <w:hideMark/>
          </w:tcPr>
          <w:p w14:paraId="1C9C50A4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48" w:type="pct"/>
            <w:noWrap/>
            <w:vAlign w:val="bottom"/>
            <w:hideMark/>
          </w:tcPr>
          <w:p w14:paraId="33CE6298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145" w:type="pct"/>
            <w:noWrap/>
            <w:vAlign w:val="bottom"/>
            <w:hideMark/>
          </w:tcPr>
          <w:p w14:paraId="0FA931D8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2" w:type="pct"/>
            <w:gridSpan w:val="2"/>
            <w:noWrap/>
            <w:vAlign w:val="bottom"/>
            <w:hideMark/>
          </w:tcPr>
          <w:p w14:paraId="68E9F007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71AA1E19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</w:tr>
      <w:tr w:rsidR="0039353F" w:rsidRPr="0039353F" w14:paraId="5B6CBD63" w14:textId="77777777" w:rsidTr="00C87BDA">
        <w:trPr>
          <w:trHeight w:val="300"/>
        </w:trPr>
        <w:tc>
          <w:tcPr>
            <w:tcW w:w="719" w:type="pct"/>
            <w:noWrap/>
            <w:vAlign w:val="bottom"/>
            <w:hideMark/>
          </w:tcPr>
          <w:p w14:paraId="225914A2" w14:textId="77777777" w:rsidR="0039353F" w:rsidRPr="0039353F" w:rsidRDefault="0039353F" w:rsidP="0039353F">
            <w:pPr>
              <w:spacing w:after="0" w:line="240" w:lineRule="auto"/>
              <w:ind w:firstLineChars="100" w:firstLine="220"/>
              <w:jc w:val="right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905" w:type="pct"/>
            <w:gridSpan w:val="6"/>
            <w:noWrap/>
            <w:vAlign w:val="bottom"/>
            <w:hideMark/>
          </w:tcPr>
          <w:p w14:paraId="4E796045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48" w:type="pct"/>
            <w:noWrap/>
            <w:vAlign w:val="bottom"/>
            <w:hideMark/>
          </w:tcPr>
          <w:p w14:paraId="216F139B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1145" w:type="pct"/>
            <w:noWrap/>
            <w:vAlign w:val="bottom"/>
            <w:hideMark/>
          </w:tcPr>
          <w:p w14:paraId="3D4FE14C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2" w:type="pct"/>
            <w:gridSpan w:val="2"/>
            <w:noWrap/>
            <w:vAlign w:val="bottom"/>
            <w:hideMark/>
          </w:tcPr>
          <w:p w14:paraId="3C82FF18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0881176F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it-IT"/>
              </w:rPr>
            </w:pPr>
          </w:p>
        </w:tc>
      </w:tr>
      <w:tr w:rsidR="0039353F" w:rsidRPr="0039353F" w14:paraId="24DB3477" w14:textId="77777777" w:rsidTr="0039353F">
        <w:trPr>
          <w:trHeight w:val="300"/>
        </w:trPr>
        <w:tc>
          <w:tcPr>
            <w:tcW w:w="5000" w:type="pct"/>
            <w:gridSpan w:val="12"/>
            <w:noWrap/>
            <w:vAlign w:val="bottom"/>
            <w:hideMark/>
          </w:tcPr>
          <w:p w14:paraId="75AA646A" w14:textId="77777777" w:rsidR="0039353F" w:rsidRPr="0039353F" w:rsidRDefault="0039353F" w:rsidP="0039353F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sz w:val="18"/>
                <w:lang w:eastAsia="it-IT"/>
              </w:rPr>
            </w:pPr>
          </w:p>
        </w:tc>
      </w:tr>
    </w:tbl>
    <w:p w14:paraId="087879BF" w14:textId="77777777" w:rsidR="0039353F" w:rsidRPr="002660A0" w:rsidRDefault="0039353F" w:rsidP="002660A0">
      <w:pPr>
        <w:tabs>
          <w:tab w:val="left" w:pos="2880"/>
          <w:tab w:val="left" w:pos="3240"/>
        </w:tabs>
        <w:spacing w:after="0" w:line="240" w:lineRule="auto"/>
        <w:rPr>
          <w:rFonts w:ascii="Segoe UI Light" w:eastAsiaTheme="majorEastAsia" w:hAnsi="Segoe UI Light" w:cstheme="majorBidi"/>
          <w:color w:val="000000" w:themeColor="text1"/>
          <w:sz w:val="16"/>
          <w:szCs w:val="24"/>
        </w:rPr>
      </w:pPr>
    </w:p>
    <w:sectPr w:rsidR="0039353F" w:rsidRPr="002660A0" w:rsidSect="00266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2495" w14:textId="77777777" w:rsidR="006834B5" w:rsidRDefault="006834B5" w:rsidP="007D0BFE">
      <w:pPr>
        <w:spacing w:after="0" w:line="240" w:lineRule="auto"/>
      </w:pPr>
      <w:r>
        <w:separator/>
      </w:r>
    </w:p>
  </w:endnote>
  <w:endnote w:type="continuationSeparator" w:id="0">
    <w:p w14:paraId="2FD2B9D1" w14:textId="77777777" w:rsidR="006834B5" w:rsidRDefault="006834B5" w:rsidP="007D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80F6" w14:textId="77777777" w:rsidR="006834B5" w:rsidRDefault="006834B5" w:rsidP="007D0BFE">
      <w:pPr>
        <w:spacing w:after="0" w:line="240" w:lineRule="auto"/>
      </w:pPr>
      <w:r>
        <w:separator/>
      </w:r>
    </w:p>
  </w:footnote>
  <w:footnote w:type="continuationSeparator" w:id="0">
    <w:p w14:paraId="68D443D2" w14:textId="77777777" w:rsidR="006834B5" w:rsidRDefault="006834B5" w:rsidP="007D0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4"/>
    <w:multiLevelType w:val="hybridMultilevel"/>
    <w:tmpl w:val="D3584F62"/>
    <w:lvl w:ilvl="0" w:tplc="9EFEF18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8049B"/>
    <w:multiLevelType w:val="hybridMultilevel"/>
    <w:tmpl w:val="050053CA"/>
    <w:lvl w:ilvl="0" w:tplc="9EFEF18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949F9"/>
    <w:multiLevelType w:val="hybridMultilevel"/>
    <w:tmpl w:val="7AFA6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E4CD3"/>
    <w:multiLevelType w:val="hybridMultilevel"/>
    <w:tmpl w:val="17F21F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8C1A86"/>
    <w:multiLevelType w:val="hybridMultilevel"/>
    <w:tmpl w:val="845AF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7C90"/>
    <w:multiLevelType w:val="hybridMultilevel"/>
    <w:tmpl w:val="09CE7D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54774B"/>
    <w:multiLevelType w:val="hybridMultilevel"/>
    <w:tmpl w:val="B04ABA0C"/>
    <w:lvl w:ilvl="0" w:tplc="8B7A3A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E5D1A"/>
    <w:multiLevelType w:val="hybridMultilevel"/>
    <w:tmpl w:val="CB481BA0"/>
    <w:lvl w:ilvl="0" w:tplc="118A5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257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EC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28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2C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A5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46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0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2F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D12DBA"/>
    <w:multiLevelType w:val="hybridMultilevel"/>
    <w:tmpl w:val="8D28DF44"/>
    <w:lvl w:ilvl="0" w:tplc="8B7A3A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1A6B6C"/>
    <w:multiLevelType w:val="hybridMultilevel"/>
    <w:tmpl w:val="D1B240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967210"/>
    <w:multiLevelType w:val="hybridMultilevel"/>
    <w:tmpl w:val="493E43FC"/>
    <w:lvl w:ilvl="0" w:tplc="9EFEF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77F70"/>
    <w:multiLevelType w:val="hybridMultilevel"/>
    <w:tmpl w:val="28F6DFC6"/>
    <w:lvl w:ilvl="0" w:tplc="57DE6D1C">
      <w:start w:val="653"/>
      <w:numFmt w:val="bullet"/>
      <w:lvlText w:val=""/>
      <w:lvlJc w:val="left"/>
      <w:pPr>
        <w:ind w:left="1080" w:hanging="360"/>
      </w:pPr>
      <w:rPr>
        <w:rFonts w:ascii="Symbol" w:eastAsia="PMingLiU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7633C7"/>
    <w:multiLevelType w:val="hybridMultilevel"/>
    <w:tmpl w:val="25A0B99C"/>
    <w:lvl w:ilvl="0" w:tplc="80F2337A">
      <w:start w:val="653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43504"/>
    <w:multiLevelType w:val="multilevel"/>
    <w:tmpl w:val="7AFA6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A16807"/>
    <w:multiLevelType w:val="hybridMultilevel"/>
    <w:tmpl w:val="62A246B0"/>
    <w:lvl w:ilvl="0" w:tplc="9EFEF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955E5"/>
    <w:multiLevelType w:val="hybridMultilevel"/>
    <w:tmpl w:val="60169F1A"/>
    <w:lvl w:ilvl="0" w:tplc="8B7A3A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5012575">
    <w:abstractNumId w:val="15"/>
  </w:num>
  <w:num w:numId="2" w16cid:durableId="2137794922">
    <w:abstractNumId w:val="6"/>
  </w:num>
  <w:num w:numId="3" w16cid:durableId="1216160019">
    <w:abstractNumId w:val="8"/>
  </w:num>
  <w:num w:numId="4" w16cid:durableId="1458841001">
    <w:abstractNumId w:val="2"/>
  </w:num>
  <w:num w:numId="5" w16cid:durableId="2096046399">
    <w:abstractNumId w:val="13"/>
  </w:num>
  <w:num w:numId="6" w16cid:durableId="1250849289">
    <w:abstractNumId w:val="1"/>
  </w:num>
  <w:num w:numId="7" w16cid:durableId="644356875">
    <w:abstractNumId w:val="0"/>
  </w:num>
  <w:num w:numId="8" w16cid:durableId="1447500336">
    <w:abstractNumId w:val="3"/>
  </w:num>
  <w:num w:numId="9" w16cid:durableId="1592155924">
    <w:abstractNumId w:val="14"/>
  </w:num>
  <w:num w:numId="10" w16cid:durableId="1680038568">
    <w:abstractNumId w:val="10"/>
  </w:num>
  <w:num w:numId="11" w16cid:durableId="1774938774">
    <w:abstractNumId w:val="9"/>
  </w:num>
  <w:num w:numId="12" w16cid:durableId="1249575494">
    <w:abstractNumId w:val="5"/>
  </w:num>
  <w:num w:numId="13" w16cid:durableId="214582921">
    <w:abstractNumId w:val="12"/>
  </w:num>
  <w:num w:numId="14" w16cid:durableId="1174999720">
    <w:abstractNumId w:val="11"/>
  </w:num>
  <w:num w:numId="15" w16cid:durableId="1029451051">
    <w:abstractNumId w:val="4"/>
  </w:num>
  <w:num w:numId="16" w16cid:durableId="1319075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0F"/>
    <w:rsid w:val="00014FE4"/>
    <w:rsid w:val="00015CF5"/>
    <w:rsid w:val="00022E13"/>
    <w:rsid w:val="00027C52"/>
    <w:rsid w:val="00030EC6"/>
    <w:rsid w:val="00031329"/>
    <w:rsid w:val="0003376A"/>
    <w:rsid w:val="00033C34"/>
    <w:rsid w:val="000448D8"/>
    <w:rsid w:val="00055DEA"/>
    <w:rsid w:val="0007394B"/>
    <w:rsid w:val="00084A19"/>
    <w:rsid w:val="000933F6"/>
    <w:rsid w:val="0009355F"/>
    <w:rsid w:val="000A5BB7"/>
    <w:rsid w:val="000B18A3"/>
    <w:rsid w:val="000B32B6"/>
    <w:rsid w:val="000B446D"/>
    <w:rsid w:val="000D2A0F"/>
    <w:rsid w:val="000D4BE8"/>
    <w:rsid w:val="000D7495"/>
    <w:rsid w:val="000D755F"/>
    <w:rsid w:val="000E1E8B"/>
    <w:rsid w:val="000E5355"/>
    <w:rsid w:val="000E6703"/>
    <w:rsid w:val="000E7D56"/>
    <w:rsid w:val="000F4FAA"/>
    <w:rsid w:val="0010077A"/>
    <w:rsid w:val="00101324"/>
    <w:rsid w:val="001028BB"/>
    <w:rsid w:val="001104D3"/>
    <w:rsid w:val="001118F7"/>
    <w:rsid w:val="001163C9"/>
    <w:rsid w:val="00116D88"/>
    <w:rsid w:val="001201E3"/>
    <w:rsid w:val="00122F99"/>
    <w:rsid w:val="001305B6"/>
    <w:rsid w:val="001374EB"/>
    <w:rsid w:val="00150196"/>
    <w:rsid w:val="001508F2"/>
    <w:rsid w:val="00172DC5"/>
    <w:rsid w:val="00174854"/>
    <w:rsid w:val="00193960"/>
    <w:rsid w:val="00193E2A"/>
    <w:rsid w:val="001964A4"/>
    <w:rsid w:val="001A540F"/>
    <w:rsid w:val="001B60D9"/>
    <w:rsid w:val="001B743A"/>
    <w:rsid w:val="001C0FF1"/>
    <w:rsid w:val="001C1339"/>
    <w:rsid w:val="001C540E"/>
    <w:rsid w:val="001C6075"/>
    <w:rsid w:val="001E0784"/>
    <w:rsid w:val="001E5595"/>
    <w:rsid w:val="001E575D"/>
    <w:rsid w:val="002078DE"/>
    <w:rsid w:val="0021116A"/>
    <w:rsid w:val="00211F67"/>
    <w:rsid w:val="0021466B"/>
    <w:rsid w:val="0022770B"/>
    <w:rsid w:val="00240C0B"/>
    <w:rsid w:val="00241147"/>
    <w:rsid w:val="00242519"/>
    <w:rsid w:val="00243C44"/>
    <w:rsid w:val="00246AE6"/>
    <w:rsid w:val="00254AAA"/>
    <w:rsid w:val="0026101C"/>
    <w:rsid w:val="00261606"/>
    <w:rsid w:val="00263D7C"/>
    <w:rsid w:val="00265475"/>
    <w:rsid w:val="00265F72"/>
    <w:rsid w:val="002660A0"/>
    <w:rsid w:val="002663F7"/>
    <w:rsid w:val="00275532"/>
    <w:rsid w:val="0028000B"/>
    <w:rsid w:val="002864B9"/>
    <w:rsid w:val="00286FAC"/>
    <w:rsid w:val="00290E2B"/>
    <w:rsid w:val="00291297"/>
    <w:rsid w:val="002A014F"/>
    <w:rsid w:val="002A6E7F"/>
    <w:rsid w:val="002D699B"/>
    <w:rsid w:val="002E317E"/>
    <w:rsid w:val="002E4D91"/>
    <w:rsid w:val="002E58B1"/>
    <w:rsid w:val="002E7B5A"/>
    <w:rsid w:val="002F027E"/>
    <w:rsid w:val="002F37C9"/>
    <w:rsid w:val="002F5182"/>
    <w:rsid w:val="002F6F21"/>
    <w:rsid w:val="00303F91"/>
    <w:rsid w:val="003056B1"/>
    <w:rsid w:val="00305C0F"/>
    <w:rsid w:val="00310491"/>
    <w:rsid w:val="00311442"/>
    <w:rsid w:val="00313180"/>
    <w:rsid w:val="003136FD"/>
    <w:rsid w:val="00333CD9"/>
    <w:rsid w:val="00340509"/>
    <w:rsid w:val="00345271"/>
    <w:rsid w:val="0034647A"/>
    <w:rsid w:val="00347EE0"/>
    <w:rsid w:val="00350D7B"/>
    <w:rsid w:val="003556C9"/>
    <w:rsid w:val="003614E1"/>
    <w:rsid w:val="00361A1E"/>
    <w:rsid w:val="00363994"/>
    <w:rsid w:val="0038049B"/>
    <w:rsid w:val="00385622"/>
    <w:rsid w:val="00386A84"/>
    <w:rsid w:val="00391673"/>
    <w:rsid w:val="003916F0"/>
    <w:rsid w:val="0039353F"/>
    <w:rsid w:val="003A0299"/>
    <w:rsid w:val="003A56D6"/>
    <w:rsid w:val="003B0FC0"/>
    <w:rsid w:val="003C6EA8"/>
    <w:rsid w:val="003D2D26"/>
    <w:rsid w:val="003D520E"/>
    <w:rsid w:val="003E214B"/>
    <w:rsid w:val="003E2D37"/>
    <w:rsid w:val="003E7C25"/>
    <w:rsid w:val="003F151E"/>
    <w:rsid w:val="003F49D5"/>
    <w:rsid w:val="00403EB0"/>
    <w:rsid w:val="0040498B"/>
    <w:rsid w:val="004063C2"/>
    <w:rsid w:val="00420302"/>
    <w:rsid w:val="004325E7"/>
    <w:rsid w:val="00432F8D"/>
    <w:rsid w:val="00436765"/>
    <w:rsid w:val="0044303C"/>
    <w:rsid w:val="00455E11"/>
    <w:rsid w:val="0045717A"/>
    <w:rsid w:val="00465CEF"/>
    <w:rsid w:val="00467760"/>
    <w:rsid w:val="00477AFA"/>
    <w:rsid w:val="004860BE"/>
    <w:rsid w:val="0049105F"/>
    <w:rsid w:val="004A18DF"/>
    <w:rsid w:val="004A1F0C"/>
    <w:rsid w:val="004B5517"/>
    <w:rsid w:val="004C098D"/>
    <w:rsid w:val="004C1A50"/>
    <w:rsid w:val="004D0E2E"/>
    <w:rsid w:val="004E237D"/>
    <w:rsid w:val="004E6FB2"/>
    <w:rsid w:val="004F1562"/>
    <w:rsid w:val="004F1B3B"/>
    <w:rsid w:val="004F2E44"/>
    <w:rsid w:val="00513784"/>
    <w:rsid w:val="0052591E"/>
    <w:rsid w:val="0052662C"/>
    <w:rsid w:val="00532EB6"/>
    <w:rsid w:val="005365DA"/>
    <w:rsid w:val="00543B0B"/>
    <w:rsid w:val="00544F02"/>
    <w:rsid w:val="00550EFE"/>
    <w:rsid w:val="00554279"/>
    <w:rsid w:val="0055683D"/>
    <w:rsid w:val="00562E46"/>
    <w:rsid w:val="00581CE3"/>
    <w:rsid w:val="005830AC"/>
    <w:rsid w:val="005A054D"/>
    <w:rsid w:val="005B6A93"/>
    <w:rsid w:val="005B7A9B"/>
    <w:rsid w:val="005D3425"/>
    <w:rsid w:val="005D35F1"/>
    <w:rsid w:val="005E5B83"/>
    <w:rsid w:val="005E7CF4"/>
    <w:rsid w:val="005F1EF9"/>
    <w:rsid w:val="005F4672"/>
    <w:rsid w:val="005F5635"/>
    <w:rsid w:val="005F77BA"/>
    <w:rsid w:val="00600BBC"/>
    <w:rsid w:val="0060433F"/>
    <w:rsid w:val="00607469"/>
    <w:rsid w:val="006118FD"/>
    <w:rsid w:val="00614853"/>
    <w:rsid w:val="00617866"/>
    <w:rsid w:val="0062118F"/>
    <w:rsid w:val="006263A5"/>
    <w:rsid w:val="00630DA3"/>
    <w:rsid w:val="00643B6F"/>
    <w:rsid w:val="00657C69"/>
    <w:rsid w:val="0066211E"/>
    <w:rsid w:val="00664938"/>
    <w:rsid w:val="00667C4D"/>
    <w:rsid w:val="00674229"/>
    <w:rsid w:val="006834B5"/>
    <w:rsid w:val="006A2F7D"/>
    <w:rsid w:val="006A3B4B"/>
    <w:rsid w:val="006A4321"/>
    <w:rsid w:val="006B3ADF"/>
    <w:rsid w:val="006D07EB"/>
    <w:rsid w:val="006D649E"/>
    <w:rsid w:val="006E215E"/>
    <w:rsid w:val="006E7E4D"/>
    <w:rsid w:val="0070291A"/>
    <w:rsid w:val="0070334F"/>
    <w:rsid w:val="00710BBA"/>
    <w:rsid w:val="00716D0A"/>
    <w:rsid w:val="0072062B"/>
    <w:rsid w:val="00725AF1"/>
    <w:rsid w:val="00733061"/>
    <w:rsid w:val="00764023"/>
    <w:rsid w:val="00771957"/>
    <w:rsid w:val="00773C23"/>
    <w:rsid w:val="00787613"/>
    <w:rsid w:val="00791D86"/>
    <w:rsid w:val="007A02F2"/>
    <w:rsid w:val="007A3BE6"/>
    <w:rsid w:val="007B2809"/>
    <w:rsid w:val="007B788F"/>
    <w:rsid w:val="007C15FE"/>
    <w:rsid w:val="007C1A05"/>
    <w:rsid w:val="007C3D86"/>
    <w:rsid w:val="007C7974"/>
    <w:rsid w:val="007D0BFE"/>
    <w:rsid w:val="007D7613"/>
    <w:rsid w:val="007E4945"/>
    <w:rsid w:val="007E57AC"/>
    <w:rsid w:val="008119AF"/>
    <w:rsid w:val="00811DB7"/>
    <w:rsid w:val="008132D0"/>
    <w:rsid w:val="00826B80"/>
    <w:rsid w:val="008407EE"/>
    <w:rsid w:val="00841A3E"/>
    <w:rsid w:val="00842AED"/>
    <w:rsid w:val="00860658"/>
    <w:rsid w:val="0086702D"/>
    <w:rsid w:val="00867EC8"/>
    <w:rsid w:val="00870E81"/>
    <w:rsid w:val="00872887"/>
    <w:rsid w:val="008938E1"/>
    <w:rsid w:val="008A79D3"/>
    <w:rsid w:val="008B4106"/>
    <w:rsid w:val="008B61BA"/>
    <w:rsid w:val="008C03BB"/>
    <w:rsid w:val="008C3F94"/>
    <w:rsid w:val="008C4FF2"/>
    <w:rsid w:val="008D1A5F"/>
    <w:rsid w:val="008D68EA"/>
    <w:rsid w:val="008E4B43"/>
    <w:rsid w:val="008F3762"/>
    <w:rsid w:val="008F3908"/>
    <w:rsid w:val="008F6284"/>
    <w:rsid w:val="008F64CA"/>
    <w:rsid w:val="00903893"/>
    <w:rsid w:val="00912B70"/>
    <w:rsid w:val="0091632E"/>
    <w:rsid w:val="00924A50"/>
    <w:rsid w:val="009268CD"/>
    <w:rsid w:val="00926F0C"/>
    <w:rsid w:val="00927C55"/>
    <w:rsid w:val="009365B9"/>
    <w:rsid w:val="00957368"/>
    <w:rsid w:val="0096037C"/>
    <w:rsid w:val="00963F47"/>
    <w:rsid w:val="00964FC3"/>
    <w:rsid w:val="00975867"/>
    <w:rsid w:val="00994CCB"/>
    <w:rsid w:val="009964A3"/>
    <w:rsid w:val="00997A26"/>
    <w:rsid w:val="009A0AAC"/>
    <w:rsid w:val="009A4DF4"/>
    <w:rsid w:val="009A6369"/>
    <w:rsid w:val="009C1B19"/>
    <w:rsid w:val="009C5E7D"/>
    <w:rsid w:val="009D6312"/>
    <w:rsid w:val="009E0BE9"/>
    <w:rsid w:val="009E20B4"/>
    <w:rsid w:val="009E35EC"/>
    <w:rsid w:val="009F5FFB"/>
    <w:rsid w:val="00A02946"/>
    <w:rsid w:val="00A0353E"/>
    <w:rsid w:val="00A053F6"/>
    <w:rsid w:val="00A105FE"/>
    <w:rsid w:val="00A20541"/>
    <w:rsid w:val="00A26C05"/>
    <w:rsid w:val="00A30A05"/>
    <w:rsid w:val="00A35E34"/>
    <w:rsid w:val="00A4058A"/>
    <w:rsid w:val="00A52297"/>
    <w:rsid w:val="00A665A2"/>
    <w:rsid w:val="00A672D8"/>
    <w:rsid w:val="00A843C1"/>
    <w:rsid w:val="00A91279"/>
    <w:rsid w:val="00A96011"/>
    <w:rsid w:val="00AB1D43"/>
    <w:rsid w:val="00AB4A49"/>
    <w:rsid w:val="00AB504D"/>
    <w:rsid w:val="00AD2CDD"/>
    <w:rsid w:val="00AD5581"/>
    <w:rsid w:val="00AD5AE5"/>
    <w:rsid w:val="00AD6480"/>
    <w:rsid w:val="00AD67C4"/>
    <w:rsid w:val="00AE3D04"/>
    <w:rsid w:val="00AF2371"/>
    <w:rsid w:val="00AF5234"/>
    <w:rsid w:val="00B065BD"/>
    <w:rsid w:val="00B16107"/>
    <w:rsid w:val="00B16219"/>
    <w:rsid w:val="00B22ED3"/>
    <w:rsid w:val="00B30BF3"/>
    <w:rsid w:val="00B33986"/>
    <w:rsid w:val="00B3545C"/>
    <w:rsid w:val="00B4544E"/>
    <w:rsid w:val="00B4677A"/>
    <w:rsid w:val="00B55FF8"/>
    <w:rsid w:val="00B57B53"/>
    <w:rsid w:val="00B704BB"/>
    <w:rsid w:val="00B82F2E"/>
    <w:rsid w:val="00B83499"/>
    <w:rsid w:val="00B86E3E"/>
    <w:rsid w:val="00B909AD"/>
    <w:rsid w:val="00B91599"/>
    <w:rsid w:val="00B936EE"/>
    <w:rsid w:val="00B95509"/>
    <w:rsid w:val="00BB6409"/>
    <w:rsid w:val="00BB6F52"/>
    <w:rsid w:val="00BB7DA3"/>
    <w:rsid w:val="00BC4118"/>
    <w:rsid w:val="00BD5A28"/>
    <w:rsid w:val="00BD7FDA"/>
    <w:rsid w:val="00BE3D0D"/>
    <w:rsid w:val="00BE7857"/>
    <w:rsid w:val="00BE7DF2"/>
    <w:rsid w:val="00BF0B39"/>
    <w:rsid w:val="00C00FEE"/>
    <w:rsid w:val="00C01108"/>
    <w:rsid w:val="00C04990"/>
    <w:rsid w:val="00C101E9"/>
    <w:rsid w:val="00C13572"/>
    <w:rsid w:val="00C15201"/>
    <w:rsid w:val="00C1706F"/>
    <w:rsid w:val="00C21EBE"/>
    <w:rsid w:val="00C33273"/>
    <w:rsid w:val="00C33E22"/>
    <w:rsid w:val="00C42DE9"/>
    <w:rsid w:val="00C47EF1"/>
    <w:rsid w:val="00C51048"/>
    <w:rsid w:val="00C524C2"/>
    <w:rsid w:val="00C531C2"/>
    <w:rsid w:val="00C54B76"/>
    <w:rsid w:val="00C6251F"/>
    <w:rsid w:val="00C625C7"/>
    <w:rsid w:val="00C700DC"/>
    <w:rsid w:val="00C72292"/>
    <w:rsid w:val="00C76FE7"/>
    <w:rsid w:val="00C87BDA"/>
    <w:rsid w:val="00C951EF"/>
    <w:rsid w:val="00CA7AD8"/>
    <w:rsid w:val="00CC24E4"/>
    <w:rsid w:val="00CC61D6"/>
    <w:rsid w:val="00CD290A"/>
    <w:rsid w:val="00CD31C5"/>
    <w:rsid w:val="00CF5CED"/>
    <w:rsid w:val="00D05FBE"/>
    <w:rsid w:val="00D07092"/>
    <w:rsid w:val="00D07816"/>
    <w:rsid w:val="00D15066"/>
    <w:rsid w:val="00D23ABA"/>
    <w:rsid w:val="00D266A9"/>
    <w:rsid w:val="00D26BF6"/>
    <w:rsid w:val="00D34688"/>
    <w:rsid w:val="00D52472"/>
    <w:rsid w:val="00D704F0"/>
    <w:rsid w:val="00D713D3"/>
    <w:rsid w:val="00D71BED"/>
    <w:rsid w:val="00D746B6"/>
    <w:rsid w:val="00D8771F"/>
    <w:rsid w:val="00D94CFA"/>
    <w:rsid w:val="00DA2006"/>
    <w:rsid w:val="00DA3F8C"/>
    <w:rsid w:val="00DB4973"/>
    <w:rsid w:val="00DD1767"/>
    <w:rsid w:val="00DE1355"/>
    <w:rsid w:val="00DF5470"/>
    <w:rsid w:val="00E011B8"/>
    <w:rsid w:val="00E4060C"/>
    <w:rsid w:val="00E40729"/>
    <w:rsid w:val="00E443EB"/>
    <w:rsid w:val="00E513FD"/>
    <w:rsid w:val="00E62877"/>
    <w:rsid w:val="00E7255D"/>
    <w:rsid w:val="00E76747"/>
    <w:rsid w:val="00E76B09"/>
    <w:rsid w:val="00E77B59"/>
    <w:rsid w:val="00E82703"/>
    <w:rsid w:val="00E93551"/>
    <w:rsid w:val="00EA01C1"/>
    <w:rsid w:val="00EA2541"/>
    <w:rsid w:val="00EA501A"/>
    <w:rsid w:val="00EB502B"/>
    <w:rsid w:val="00EB65C3"/>
    <w:rsid w:val="00EC699B"/>
    <w:rsid w:val="00EC750E"/>
    <w:rsid w:val="00EC7CBC"/>
    <w:rsid w:val="00ED0785"/>
    <w:rsid w:val="00ED1E3A"/>
    <w:rsid w:val="00ED23CB"/>
    <w:rsid w:val="00ED4CF0"/>
    <w:rsid w:val="00EE0B98"/>
    <w:rsid w:val="00EF2EC3"/>
    <w:rsid w:val="00EF4390"/>
    <w:rsid w:val="00F07027"/>
    <w:rsid w:val="00F07DCE"/>
    <w:rsid w:val="00F13585"/>
    <w:rsid w:val="00F15ACB"/>
    <w:rsid w:val="00F20642"/>
    <w:rsid w:val="00F4708E"/>
    <w:rsid w:val="00F56729"/>
    <w:rsid w:val="00F608D7"/>
    <w:rsid w:val="00F8449B"/>
    <w:rsid w:val="00F90234"/>
    <w:rsid w:val="00F92204"/>
    <w:rsid w:val="00FA2E99"/>
    <w:rsid w:val="00FA361F"/>
    <w:rsid w:val="00FA5676"/>
    <w:rsid w:val="00FA7C51"/>
    <w:rsid w:val="00FB5E14"/>
    <w:rsid w:val="00FB6C4B"/>
    <w:rsid w:val="00FC09D3"/>
    <w:rsid w:val="00FE5AAC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86B1A9"/>
  <w15:docId w15:val="{FC8B3460-8EF6-4214-A422-76490A87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it-IT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495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A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4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7D0B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D0B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7D0B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D0BFE"/>
    <w:rPr>
      <w:rFonts w:cs="Times New Roman"/>
    </w:rPr>
  </w:style>
  <w:style w:type="character" w:styleId="Enfasigrassetto">
    <w:name w:val="Strong"/>
    <w:basedOn w:val="Carpredefinitoparagrafo"/>
    <w:uiPriority w:val="22"/>
    <w:qFormat/>
    <w:locked/>
    <w:rsid w:val="004F1562"/>
    <w:rPr>
      <w:rFonts w:cs="Times New Roman"/>
      <w:b/>
      <w:bCs/>
    </w:rPr>
  </w:style>
  <w:style w:type="table" w:customStyle="1" w:styleId="Elencochiaro-Colore11">
    <w:name w:val="Elenco chiaro - Colore 11"/>
    <w:basedOn w:val="Tabellanormale"/>
    <w:uiPriority w:val="61"/>
    <w:rsid w:val="008F390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8F39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21">
    <w:name w:val="Elenco medio 21"/>
    <w:basedOn w:val="Tabellanormale"/>
    <w:uiPriority w:val="66"/>
    <w:rsid w:val="008F39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chiara1">
    <w:name w:val="Griglia chiara1"/>
    <w:basedOn w:val="Tabellanormale"/>
    <w:uiPriority w:val="62"/>
    <w:rsid w:val="008F390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Elencomedio2-Colore3">
    <w:name w:val="Medium List 2 Accent 3"/>
    <w:basedOn w:val="Tabellanormale"/>
    <w:uiPriority w:val="66"/>
    <w:rsid w:val="00BD5A2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403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9C1B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qFormat/>
    <w:rsid w:val="009E35EC"/>
    <w:pPr>
      <w:widowControl w:val="0"/>
      <w:suppressAutoHyphens/>
    </w:pPr>
    <w:rPr>
      <w:rFonts w:ascii="Times New Roman" w:eastAsia="Times New Roman" w:hAnsi="Times New Roma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1725-D089-441D-8212-6432CFA7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557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Indicatori 2012</vt:lpstr>
    </vt:vector>
  </TitlesOfParts>
  <Company>Olidata S.p.A.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Indicatori 2012</dc:title>
  <dc:creator>Luca</dc:creator>
  <cp:lastModifiedBy>Claudio Rieppi</cp:lastModifiedBy>
  <cp:revision>4</cp:revision>
  <cp:lastPrinted>2025-03-07T09:22:00Z</cp:lastPrinted>
  <dcterms:created xsi:type="dcterms:W3CDTF">2026-03-30T08:57:00Z</dcterms:created>
  <dcterms:modified xsi:type="dcterms:W3CDTF">2026-03-30T10:14:00Z</dcterms:modified>
</cp:coreProperties>
</file>